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55" w:rsidRDefault="00057055" w:rsidP="00057055">
      <w:pPr>
        <w:pStyle w:val="Cmsor1"/>
        <w:ind w:left="2"/>
      </w:pPr>
      <w:r>
        <w:t xml:space="preserve">Urban Waste Management </w:t>
      </w:r>
    </w:p>
    <w:p w:rsidR="00057055" w:rsidRDefault="00057055" w:rsidP="00057055">
      <w:pPr>
        <w:spacing w:after="42" w:line="259" w:lineRule="auto"/>
        <w:ind w:left="2" w:firstLine="0"/>
        <w:jc w:val="left"/>
      </w:pPr>
      <w:r>
        <w:t xml:space="preserve"> </w:t>
      </w:r>
    </w:p>
    <w:p w:rsidR="00057055" w:rsidRDefault="00057055" w:rsidP="00057055">
      <w:pPr>
        <w:ind w:left="-3" w:right="112"/>
      </w:pPr>
      <w:r>
        <w:t xml:space="preserve">Code: MK5HUGKK3TX17-EN </w:t>
      </w:r>
    </w:p>
    <w:p w:rsidR="00057055" w:rsidRDefault="00057055" w:rsidP="00057055">
      <w:pPr>
        <w:ind w:left="-3" w:right="112"/>
      </w:pPr>
      <w:r>
        <w:t xml:space="preserve">ECTS Credit Points: 3 </w:t>
      </w:r>
    </w:p>
    <w:p w:rsidR="00057055" w:rsidRDefault="00057055" w:rsidP="00057055">
      <w:pPr>
        <w:ind w:left="-3" w:right="112"/>
      </w:pPr>
      <w:r>
        <w:t xml:space="preserve">Evaluation: exam </w:t>
      </w:r>
    </w:p>
    <w:p w:rsidR="00057055" w:rsidRDefault="00057055" w:rsidP="00057055">
      <w:pPr>
        <w:spacing w:after="80"/>
        <w:ind w:left="-3" w:right="112"/>
      </w:pPr>
      <w:r>
        <w:t>Year, Semester: 2</w:t>
      </w:r>
      <w:r>
        <w:rPr>
          <w:vertAlign w:val="superscript"/>
        </w:rPr>
        <w:t xml:space="preserve">nd </w:t>
      </w:r>
      <w:r>
        <w:t>year, 1</w:t>
      </w:r>
      <w:r>
        <w:rPr>
          <w:vertAlign w:val="superscript"/>
        </w:rPr>
        <w:t>st</w:t>
      </w:r>
      <w:r>
        <w:t xml:space="preserve"> semester </w:t>
      </w:r>
    </w:p>
    <w:p w:rsidR="00057055" w:rsidRDefault="00057055" w:rsidP="00057055">
      <w:pPr>
        <w:ind w:left="-3" w:right="112"/>
      </w:pPr>
      <w:r>
        <w:t xml:space="preserve">Its prerequisite(s): - </w:t>
      </w:r>
    </w:p>
    <w:p w:rsidR="00057055" w:rsidRDefault="00057055" w:rsidP="00057055">
      <w:pPr>
        <w:ind w:left="-3" w:right="112"/>
      </w:pPr>
      <w:r>
        <w:t xml:space="preserve">Further courses are built on it: No </w:t>
      </w:r>
    </w:p>
    <w:p w:rsidR="00057055" w:rsidRDefault="00057055" w:rsidP="00057055">
      <w:pPr>
        <w:ind w:left="-3" w:right="112"/>
      </w:pPr>
      <w:r>
        <w:t xml:space="preserve">Number of teaching hours/week (lecture + practice): 2 + 0  </w:t>
      </w:r>
    </w:p>
    <w:p w:rsidR="00057055" w:rsidRDefault="00057055" w:rsidP="00057055">
      <w:pPr>
        <w:spacing w:after="40" w:line="259" w:lineRule="auto"/>
        <w:ind w:left="2" w:firstLine="0"/>
        <w:jc w:val="left"/>
      </w:pPr>
      <w:r>
        <w:t xml:space="preserve"> </w:t>
      </w:r>
    </w:p>
    <w:p w:rsidR="00057055" w:rsidRDefault="00057055" w:rsidP="00057055">
      <w:pPr>
        <w:ind w:left="-3" w:right="112"/>
      </w:pPr>
      <w:r>
        <w:t xml:space="preserve">Topics:  </w:t>
      </w:r>
    </w:p>
    <w:p w:rsidR="00057055" w:rsidRDefault="00057055" w:rsidP="00057055">
      <w:pPr>
        <w:ind w:left="-3" w:right="112"/>
      </w:pPr>
      <w:r>
        <w:t xml:space="preserve">This subject aims to cover different areas of waste management. Legislation and regulation of wastes. European Union waste management policy, waste strategy in the EU. Municipal solid waste (MSW), hazardous waste, sewage sludge, and other wastes. Life cycling analysis of materials recycling. Waste containers, collection systems, transport. The logistics of solid waste collection. Types of collection systems, equipment, and personnel requirements. The economics of waste management. Options of waste treatment and disposal. Waste landfill, types of waste landfilled. Waste incineration, incineration technologies. Other waste treatment technologies: pyrolysis, gasification, composting, anaerobic digestion. Composting of municipal solid wastes. Environmental, public, and industrial health considerations. Hazardous waste definition, classification and generation. Green engineering and sustainable design aspects. Integrated waste management strategies. </w:t>
      </w:r>
    </w:p>
    <w:p w:rsidR="00057055" w:rsidRDefault="00057055" w:rsidP="00057055">
      <w:pPr>
        <w:spacing w:after="42" w:line="259" w:lineRule="auto"/>
        <w:ind w:left="2" w:firstLine="0"/>
        <w:jc w:val="left"/>
      </w:pPr>
      <w:r>
        <w:t xml:space="preserve"> </w:t>
      </w:r>
    </w:p>
    <w:p w:rsidR="00057055" w:rsidRDefault="00057055" w:rsidP="00057055">
      <w:pPr>
        <w:spacing w:after="40" w:line="259" w:lineRule="auto"/>
        <w:ind w:left="2" w:firstLine="0"/>
        <w:jc w:val="left"/>
      </w:pPr>
      <w:r>
        <w:t xml:space="preserve"> </w:t>
      </w:r>
    </w:p>
    <w:p w:rsidR="00057055" w:rsidRDefault="00057055" w:rsidP="00057055">
      <w:pPr>
        <w:ind w:left="-3" w:right="112"/>
      </w:pPr>
      <w:r>
        <w:t xml:space="preserve">Literature: </w:t>
      </w:r>
    </w:p>
    <w:p w:rsidR="00057055" w:rsidRDefault="00057055" w:rsidP="00057055">
      <w:pPr>
        <w:spacing w:after="89"/>
        <w:ind w:left="-3" w:right="112"/>
      </w:pPr>
      <w:r>
        <w:t xml:space="preserve">Required: </w:t>
      </w:r>
    </w:p>
    <w:p w:rsidR="00057055" w:rsidRDefault="00057055" w:rsidP="00057055">
      <w:pPr>
        <w:numPr>
          <w:ilvl w:val="0"/>
          <w:numId w:val="1"/>
        </w:numPr>
        <w:spacing w:after="7"/>
        <w:ind w:right="112" w:hanging="360"/>
      </w:pPr>
      <w:r>
        <w:t xml:space="preserve">Jerry A. Nathanson, Richard A. Schneider: Basic Environmental Technology: Water </w:t>
      </w:r>
    </w:p>
    <w:p w:rsidR="00057055" w:rsidRDefault="00057055" w:rsidP="00057055">
      <w:pPr>
        <w:spacing w:after="93"/>
        <w:ind w:left="579" w:right="112"/>
      </w:pPr>
      <w:r>
        <w:t xml:space="preserve">Supply, Waste Management and Pollution Control. Prentice Hall (6th Edition, 2015), 456 pages, ISBN-13: 9780132840149 </w:t>
      </w:r>
    </w:p>
    <w:p w:rsidR="00057055" w:rsidRDefault="00057055" w:rsidP="00057055">
      <w:pPr>
        <w:numPr>
          <w:ilvl w:val="0"/>
          <w:numId w:val="1"/>
        </w:numPr>
        <w:spacing w:after="7"/>
        <w:ind w:right="112" w:hanging="360"/>
      </w:pPr>
      <w:r>
        <w:t xml:space="preserve">George Tchobanoglous and Frank Kreith: Handbook of Solid Waste Management. </w:t>
      </w:r>
    </w:p>
    <w:p w:rsidR="00057055" w:rsidRDefault="00057055" w:rsidP="00057055">
      <w:pPr>
        <w:spacing w:after="87"/>
        <w:ind w:left="-13" w:right="112" w:firstLine="499"/>
      </w:pPr>
      <w:r>
        <w:t xml:space="preserve">McGraw-Hill Education (2nd edition, 2002), 950 pages, 2002, ISBN-13: 9780071356237  Recommended: </w:t>
      </w:r>
    </w:p>
    <w:p w:rsidR="00057055" w:rsidRDefault="00057055" w:rsidP="00057055">
      <w:pPr>
        <w:numPr>
          <w:ilvl w:val="0"/>
          <w:numId w:val="1"/>
        </w:numPr>
        <w:spacing w:after="93"/>
        <w:ind w:right="112" w:hanging="360"/>
      </w:pPr>
      <w:r>
        <w:t xml:space="preserve">Paul T. Williams, Waste Treatment and Disposal. John Wiley &amp; sons, Ltd. (2nd edition, 2005), 392 pages, ISBN-13: 9780470849132  </w:t>
      </w:r>
    </w:p>
    <w:p w:rsidR="00057055" w:rsidRDefault="00057055" w:rsidP="00057055">
      <w:pPr>
        <w:numPr>
          <w:ilvl w:val="0"/>
          <w:numId w:val="1"/>
        </w:numPr>
        <w:spacing w:after="93"/>
        <w:ind w:right="112" w:hanging="360"/>
      </w:pPr>
      <w:r>
        <w:t xml:space="preserve">Trevor Letcher, Daniel Vallero: Waste: A Handbook for Management. Academic Press (1st edition, 2011), 604 pages, ISBN 9780123814753 </w:t>
      </w:r>
    </w:p>
    <w:p w:rsidR="00057055" w:rsidRDefault="00057055" w:rsidP="00057055">
      <w:pPr>
        <w:numPr>
          <w:ilvl w:val="0"/>
          <w:numId w:val="1"/>
        </w:numPr>
        <w:ind w:right="112" w:hanging="360"/>
      </w:pPr>
      <w:r>
        <w:t xml:space="preserve">Alireza Bahadori: Waste Management in the Chemical and Petroleum Industries, Wiley, 2013. ISBN: 978-1-118-73175-8 </w:t>
      </w:r>
    </w:p>
    <w:p w:rsidR="00057055" w:rsidRDefault="00057055" w:rsidP="00057055">
      <w:pPr>
        <w:spacing w:after="42" w:line="259" w:lineRule="auto"/>
        <w:ind w:left="2" w:firstLine="0"/>
        <w:jc w:val="left"/>
      </w:pPr>
      <w:r>
        <w:t xml:space="preserve"> </w:t>
      </w:r>
    </w:p>
    <w:p w:rsidR="00057055" w:rsidRDefault="00057055" w:rsidP="00057055">
      <w:pPr>
        <w:spacing w:after="7"/>
        <w:ind w:left="-3" w:right="112"/>
      </w:pPr>
      <w:r>
        <w:t xml:space="preserve">Schedule </w:t>
      </w:r>
    </w:p>
    <w:tbl>
      <w:tblPr>
        <w:tblStyle w:val="TableGrid"/>
        <w:tblW w:w="7372" w:type="dxa"/>
        <w:tblInd w:w="2" w:type="dxa"/>
        <w:tblCellMar>
          <w:top w:w="40" w:type="dxa"/>
          <w:left w:w="108" w:type="dxa"/>
          <w:bottom w:w="0" w:type="dxa"/>
          <w:right w:w="65" w:type="dxa"/>
        </w:tblCellMar>
        <w:tblLook w:val="04A0" w:firstRow="1" w:lastRow="0" w:firstColumn="1" w:lastColumn="0" w:noHBand="0" w:noVBand="1"/>
      </w:tblPr>
      <w:tblGrid>
        <w:gridCol w:w="3685"/>
        <w:gridCol w:w="3687"/>
      </w:tblGrid>
      <w:tr w:rsidR="00057055" w:rsidTr="001D16E5">
        <w:trPr>
          <w:trHeight w:val="362"/>
        </w:trPr>
        <w:tc>
          <w:tcPr>
            <w:tcW w:w="3685" w:type="dxa"/>
            <w:tcBorders>
              <w:top w:val="nil"/>
              <w:left w:val="nil"/>
              <w:bottom w:val="nil"/>
              <w:right w:val="nil"/>
            </w:tcBorders>
            <w:shd w:val="clear" w:color="auto" w:fill="F2F2F2"/>
          </w:tcPr>
          <w:p w:rsidR="00057055" w:rsidRDefault="00057055" w:rsidP="001D16E5">
            <w:pPr>
              <w:spacing w:after="0" w:line="259" w:lineRule="auto"/>
              <w:ind w:left="0" w:firstLine="0"/>
              <w:jc w:val="left"/>
            </w:pPr>
            <w:r>
              <w:t>1</w:t>
            </w:r>
            <w:r>
              <w:rPr>
                <w:vertAlign w:val="superscript"/>
              </w:rPr>
              <w:t>st</w:t>
            </w:r>
            <w:r>
              <w:t xml:space="preserve"> week Registration week </w:t>
            </w:r>
          </w:p>
        </w:tc>
        <w:tc>
          <w:tcPr>
            <w:tcW w:w="3687" w:type="dxa"/>
            <w:tcBorders>
              <w:top w:val="nil"/>
              <w:left w:val="nil"/>
              <w:bottom w:val="nil"/>
              <w:right w:val="nil"/>
            </w:tcBorders>
            <w:shd w:val="clear" w:color="auto" w:fill="F2F2F2"/>
          </w:tcPr>
          <w:p w:rsidR="00057055" w:rsidRDefault="00057055" w:rsidP="001D16E5">
            <w:pPr>
              <w:spacing w:after="160" w:line="259" w:lineRule="auto"/>
              <w:ind w:left="0" w:firstLine="0"/>
              <w:jc w:val="left"/>
            </w:pPr>
          </w:p>
        </w:tc>
      </w:tr>
      <w:tr w:rsidR="00057055" w:rsidTr="001D16E5">
        <w:trPr>
          <w:trHeight w:val="1157"/>
        </w:trPr>
        <w:tc>
          <w:tcPr>
            <w:tcW w:w="3685" w:type="dxa"/>
            <w:tcBorders>
              <w:top w:val="nil"/>
              <w:left w:val="nil"/>
              <w:bottom w:val="nil"/>
              <w:right w:val="single" w:sz="4" w:space="0" w:color="000000"/>
            </w:tcBorders>
          </w:tcPr>
          <w:p w:rsidR="00057055" w:rsidRDefault="00057055" w:rsidP="001D16E5">
            <w:pPr>
              <w:spacing w:after="70" w:line="259" w:lineRule="auto"/>
              <w:ind w:left="0" w:firstLine="0"/>
              <w:jc w:val="left"/>
            </w:pPr>
            <w:r>
              <w:t>2</w:t>
            </w:r>
            <w:r>
              <w:rPr>
                <w:vertAlign w:val="superscript"/>
              </w:rPr>
              <w:t>nd</w:t>
            </w:r>
            <w:r>
              <w:t xml:space="preserve"> week:  </w:t>
            </w:r>
          </w:p>
          <w:p w:rsidR="00057055" w:rsidRDefault="00057055" w:rsidP="001D16E5">
            <w:pPr>
              <w:spacing w:after="0" w:line="259" w:lineRule="auto"/>
              <w:ind w:left="0" w:firstLine="0"/>
            </w:pPr>
            <w:r>
              <w:t xml:space="preserve">Lecture: The current situation and challenges of waste management in the </w:t>
            </w:r>
          </w:p>
        </w:tc>
        <w:tc>
          <w:tcPr>
            <w:tcW w:w="3687" w:type="dxa"/>
            <w:tcBorders>
              <w:top w:val="nil"/>
              <w:left w:val="single" w:sz="4" w:space="0" w:color="000000"/>
              <w:bottom w:val="nil"/>
              <w:right w:val="nil"/>
            </w:tcBorders>
          </w:tcPr>
          <w:p w:rsidR="00057055" w:rsidRDefault="00057055" w:rsidP="001D16E5">
            <w:pPr>
              <w:spacing w:after="68" w:line="259" w:lineRule="auto"/>
              <w:ind w:left="2" w:firstLine="0"/>
              <w:jc w:val="left"/>
            </w:pPr>
            <w:r>
              <w:t>3</w:t>
            </w:r>
            <w:r>
              <w:rPr>
                <w:vertAlign w:val="superscript"/>
              </w:rPr>
              <w:t>rd</w:t>
            </w:r>
            <w:r>
              <w:t xml:space="preserve"> week:  </w:t>
            </w:r>
          </w:p>
          <w:p w:rsidR="00057055" w:rsidRDefault="00057055" w:rsidP="001D16E5">
            <w:pPr>
              <w:spacing w:after="0" w:line="259" w:lineRule="auto"/>
              <w:ind w:left="2" w:right="47" w:firstLine="0"/>
            </w:pPr>
            <w:r>
              <w:t xml:space="preserve">Lecture: Legislation and regulation of wastes. European Union waste management policy, waste strategies.  </w:t>
            </w:r>
          </w:p>
        </w:tc>
      </w:tr>
      <w:tr w:rsidR="00057055" w:rsidTr="001D16E5">
        <w:trPr>
          <w:trHeight w:val="1962"/>
        </w:trPr>
        <w:tc>
          <w:tcPr>
            <w:tcW w:w="3685" w:type="dxa"/>
            <w:tcBorders>
              <w:top w:val="nil"/>
              <w:left w:val="nil"/>
              <w:bottom w:val="nil"/>
              <w:right w:val="single" w:sz="4" w:space="0" w:color="000000"/>
            </w:tcBorders>
          </w:tcPr>
          <w:p w:rsidR="00057055" w:rsidRDefault="00057055" w:rsidP="001D16E5">
            <w:pPr>
              <w:spacing w:after="121" w:line="242" w:lineRule="auto"/>
              <w:ind w:left="0" w:firstLine="0"/>
            </w:pPr>
            <w:r>
              <w:lastRenderedPageBreak/>
              <w:t xml:space="preserve">world. Environmental, public, and industrial health considerations.  </w:t>
            </w:r>
          </w:p>
          <w:p w:rsidR="00057055" w:rsidRDefault="00057055" w:rsidP="001D16E5">
            <w:pPr>
              <w:spacing w:after="68" w:line="259" w:lineRule="auto"/>
              <w:ind w:left="0" w:firstLine="0"/>
              <w:jc w:val="left"/>
            </w:pPr>
            <w:r>
              <w:t>4</w:t>
            </w:r>
            <w:r>
              <w:rPr>
                <w:vertAlign w:val="superscript"/>
              </w:rPr>
              <w:t>th</w:t>
            </w:r>
            <w:r>
              <w:t xml:space="preserve"> week:  </w:t>
            </w:r>
          </w:p>
          <w:p w:rsidR="00057055" w:rsidRDefault="00057055" w:rsidP="001D16E5">
            <w:pPr>
              <w:spacing w:after="0" w:line="259" w:lineRule="auto"/>
              <w:ind w:left="0" w:right="48" w:firstLine="0"/>
            </w:pPr>
            <w:r>
              <w:t xml:space="preserve">Lecture: Options of waste treatment and disposal. The economics of waste management. Waste management plans.  </w:t>
            </w:r>
          </w:p>
        </w:tc>
        <w:tc>
          <w:tcPr>
            <w:tcW w:w="3687" w:type="dxa"/>
            <w:tcBorders>
              <w:top w:val="nil"/>
              <w:left w:val="single" w:sz="4" w:space="0" w:color="000000"/>
              <w:bottom w:val="nil"/>
              <w:right w:val="nil"/>
            </w:tcBorders>
            <w:vAlign w:val="bottom"/>
          </w:tcPr>
          <w:p w:rsidR="00057055" w:rsidRDefault="00057055" w:rsidP="001D16E5">
            <w:pPr>
              <w:spacing w:after="68" w:line="259" w:lineRule="auto"/>
              <w:ind w:left="0" w:firstLine="0"/>
              <w:jc w:val="left"/>
            </w:pPr>
            <w:r>
              <w:t>5</w:t>
            </w:r>
            <w:r>
              <w:rPr>
                <w:vertAlign w:val="superscript"/>
              </w:rPr>
              <w:t>th</w:t>
            </w:r>
            <w:r>
              <w:t xml:space="preserve"> week:  </w:t>
            </w:r>
          </w:p>
          <w:p w:rsidR="00057055" w:rsidRDefault="00057055" w:rsidP="001D16E5">
            <w:pPr>
              <w:spacing w:after="0" w:line="259" w:lineRule="auto"/>
              <w:ind w:left="0" w:right="45" w:firstLine="0"/>
            </w:pPr>
            <w:r>
              <w:t xml:space="preserve">Lecture: The logistics of solid waste collection. Waste containers, types of collection systems, equipment, and personal requirements.  </w:t>
            </w:r>
          </w:p>
        </w:tc>
      </w:tr>
      <w:tr w:rsidR="00057055" w:rsidTr="001D16E5">
        <w:trPr>
          <w:trHeight w:val="1876"/>
        </w:trPr>
        <w:tc>
          <w:tcPr>
            <w:tcW w:w="3685" w:type="dxa"/>
            <w:tcBorders>
              <w:top w:val="nil"/>
              <w:left w:val="nil"/>
              <w:bottom w:val="nil"/>
              <w:right w:val="single" w:sz="4" w:space="0" w:color="000000"/>
            </w:tcBorders>
          </w:tcPr>
          <w:p w:rsidR="00057055" w:rsidRDefault="00057055" w:rsidP="001D16E5">
            <w:pPr>
              <w:spacing w:after="65" w:line="259" w:lineRule="auto"/>
              <w:ind w:left="0" w:firstLine="0"/>
              <w:jc w:val="left"/>
            </w:pPr>
            <w:r>
              <w:t>6</w:t>
            </w:r>
            <w:r>
              <w:rPr>
                <w:vertAlign w:val="superscript"/>
              </w:rPr>
              <w:t>th</w:t>
            </w:r>
            <w:r>
              <w:t xml:space="preserve"> week:  </w:t>
            </w:r>
          </w:p>
          <w:p w:rsidR="00057055" w:rsidRDefault="00057055" w:rsidP="001D16E5">
            <w:pPr>
              <w:spacing w:after="0" w:line="259" w:lineRule="auto"/>
              <w:ind w:left="0" w:right="47" w:firstLine="0"/>
            </w:pPr>
            <w:r>
              <w:t xml:space="preserve">Lecture: Waste landfill, types of waste landfilled. Landfills for hazardous waste, for non-hazardous waste, and for inert waste.  </w:t>
            </w:r>
          </w:p>
        </w:tc>
        <w:tc>
          <w:tcPr>
            <w:tcW w:w="3687" w:type="dxa"/>
            <w:tcBorders>
              <w:top w:val="nil"/>
              <w:left w:val="single" w:sz="4" w:space="0" w:color="000000"/>
              <w:bottom w:val="nil"/>
              <w:right w:val="nil"/>
            </w:tcBorders>
          </w:tcPr>
          <w:p w:rsidR="00057055" w:rsidRDefault="00057055" w:rsidP="001D16E5">
            <w:pPr>
              <w:spacing w:after="65" w:line="259" w:lineRule="auto"/>
              <w:ind w:left="0" w:firstLine="0"/>
              <w:jc w:val="left"/>
            </w:pPr>
            <w:r>
              <w:t>7</w:t>
            </w:r>
            <w:r>
              <w:rPr>
                <w:vertAlign w:val="superscript"/>
              </w:rPr>
              <w:t>th</w:t>
            </w:r>
            <w:r>
              <w:t xml:space="preserve"> week:  </w:t>
            </w:r>
          </w:p>
          <w:p w:rsidR="00057055" w:rsidRDefault="00057055" w:rsidP="001D16E5">
            <w:pPr>
              <w:spacing w:after="0" w:line="259" w:lineRule="auto"/>
              <w:ind w:left="0" w:right="44" w:firstLine="0"/>
            </w:pPr>
            <w:r>
              <w:t xml:space="preserve">Lecture: Waste incineration, incineration technologies. Negative effects on the environment caused by the incineration of waste. Operational conditions, technical requirements, and emission limit values for incineration and co-incineration plants.  </w:t>
            </w:r>
          </w:p>
        </w:tc>
      </w:tr>
      <w:tr w:rsidR="00057055" w:rsidTr="001D16E5">
        <w:trPr>
          <w:trHeight w:val="365"/>
        </w:trPr>
        <w:tc>
          <w:tcPr>
            <w:tcW w:w="3685" w:type="dxa"/>
            <w:tcBorders>
              <w:top w:val="nil"/>
              <w:left w:val="nil"/>
              <w:bottom w:val="nil"/>
              <w:right w:val="single" w:sz="4" w:space="0" w:color="000000"/>
            </w:tcBorders>
            <w:shd w:val="clear" w:color="auto" w:fill="F2F2F2"/>
          </w:tcPr>
          <w:p w:rsidR="00057055" w:rsidRDefault="00057055" w:rsidP="001D16E5">
            <w:pPr>
              <w:spacing w:after="0" w:line="259" w:lineRule="auto"/>
              <w:ind w:left="0" w:firstLine="0"/>
              <w:jc w:val="left"/>
            </w:pPr>
            <w:r>
              <w:t>8</w:t>
            </w:r>
            <w:r>
              <w:rPr>
                <w:vertAlign w:val="superscript"/>
              </w:rPr>
              <w:t>th</w:t>
            </w:r>
            <w:r>
              <w:t xml:space="preserve"> week: 1</w:t>
            </w:r>
            <w:r>
              <w:rPr>
                <w:vertAlign w:val="superscript"/>
              </w:rPr>
              <w:t>st</w:t>
            </w:r>
            <w:r>
              <w:t xml:space="preserve"> drawing week </w:t>
            </w:r>
          </w:p>
        </w:tc>
        <w:tc>
          <w:tcPr>
            <w:tcW w:w="3687" w:type="dxa"/>
            <w:tcBorders>
              <w:top w:val="nil"/>
              <w:left w:val="single" w:sz="4" w:space="0" w:color="000000"/>
              <w:bottom w:val="nil"/>
              <w:right w:val="nil"/>
            </w:tcBorders>
            <w:shd w:val="clear" w:color="auto" w:fill="F2F2F2"/>
          </w:tcPr>
          <w:p w:rsidR="00057055" w:rsidRDefault="00057055" w:rsidP="001D16E5">
            <w:pPr>
              <w:spacing w:after="0" w:line="259" w:lineRule="auto"/>
              <w:ind w:left="0" w:firstLine="0"/>
              <w:jc w:val="left"/>
            </w:pPr>
            <w:r>
              <w:t xml:space="preserve"> </w:t>
            </w:r>
          </w:p>
        </w:tc>
      </w:tr>
      <w:tr w:rsidR="00057055" w:rsidTr="001D16E5">
        <w:trPr>
          <w:trHeight w:val="1413"/>
        </w:trPr>
        <w:tc>
          <w:tcPr>
            <w:tcW w:w="3685" w:type="dxa"/>
            <w:tcBorders>
              <w:top w:val="nil"/>
              <w:left w:val="nil"/>
              <w:bottom w:val="nil"/>
              <w:right w:val="single" w:sz="4" w:space="0" w:color="000000"/>
            </w:tcBorders>
          </w:tcPr>
          <w:p w:rsidR="00057055" w:rsidRDefault="00057055" w:rsidP="001D16E5">
            <w:pPr>
              <w:spacing w:after="65" w:line="259" w:lineRule="auto"/>
              <w:ind w:left="0" w:firstLine="0"/>
              <w:jc w:val="left"/>
            </w:pPr>
            <w:r>
              <w:t>9</w:t>
            </w:r>
            <w:r>
              <w:rPr>
                <w:vertAlign w:val="superscript"/>
              </w:rPr>
              <w:t>th</w:t>
            </w:r>
            <w:r>
              <w:t xml:space="preserve"> week:  </w:t>
            </w:r>
          </w:p>
          <w:p w:rsidR="00057055" w:rsidRDefault="00057055" w:rsidP="001D16E5">
            <w:pPr>
              <w:spacing w:after="0" w:line="259" w:lineRule="auto"/>
              <w:ind w:left="0" w:right="48" w:firstLine="0"/>
            </w:pPr>
            <w:r>
              <w:t xml:space="preserve">Lecture: Life cycling analysis of materials recycling. Recyclable materials, municipal recycling facilities. Turning waste into a resource and build up a circular economy.  </w:t>
            </w:r>
          </w:p>
        </w:tc>
        <w:tc>
          <w:tcPr>
            <w:tcW w:w="3687" w:type="dxa"/>
            <w:tcBorders>
              <w:top w:val="nil"/>
              <w:left w:val="single" w:sz="4" w:space="0" w:color="000000"/>
              <w:bottom w:val="nil"/>
              <w:right w:val="nil"/>
            </w:tcBorders>
          </w:tcPr>
          <w:p w:rsidR="00057055" w:rsidRDefault="00057055" w:rsidP="001D16E5">
            <w:pPr>
              <w:spacing w:after="64" w:line="259" w:lineRule="auto"/>
              <w:ind w:left="0" w:firstLine="0"/>
              <w:jc w:val="left"/>
            </w:pPr>
            <w:r>
              <w:t>10</w:t>
            </w:r>
            <w:r>
              <w:rPr>
                <w:vertAlign w:val="superscript"/>
              </w:rPr>
              <w:t>th</w:t>
            </w:r>
            <w:r>
              <w:t xml:space="preserve"> week:  </w:t>
            </w:r>
          </w:p>
          <w:p w:rsidR="00057055" w:rsidRDefault="00057055" w:rsidP="001D16E5">
            <w:pPr>
              <w:spacing w:after="0" w:line="259" w:lineRule="auto"/>
              <w:ind w:left="0" w:right="45" w:firstLine="0"/>
            </w:pPr>
            <w:r>
              <w:t xml:space="preserve">Lecture: Composting, anaerob digestion. Composting of municipal solid wastes. Treatment methods for biodegradable waste.  </w:t>
            </w:r>
          </w:p>
        </w:tc>
      </w:tr>
      <w:tr w:rsidR="00057055" w:rsidTr="001D16E5">
        <w:trPr>
          <w:trHeight w:val="1156"/>
        </w:trPr>
        <w:tc>
          <w:tcPr>
            <w:tcW w:w="3685" w:type="dxa"/>
            <w:tcBorders>
              <w:top w:val="nil"/>
              <w:left w:val="nil"/>
              <w:bottom w:val="nil"/>
              <w:right w:val="single" w:sz="4" w:space="0" w:color="000000"/>
            </w:tcBorders>
          </w:tcPr>
          <w:p w:rsidR="00057055" w:rsidRDefault="00057055" w:rsidP="001D16E5">
            <w:pPr>
              <w:spacing w:after="67" w:line="259" w:lineRule="auto"/>
              <w:ind w:left="0" w:firstLine="0"/>
              <w:jc w:val="left"/>
            </w:pPr>
            <w:r>
              <w:t>11</w:t>
            </w:r>
            <w:r>
              <w:rPr>
                <w:vertAlign w:val="superscript"/>
              </w:rPr>
              <w:t>th</w:t>
            </w:r>
            <w:r>
              <w:t xml:space="preserve"> week:  </w:t>
            </w:r>
          </w:p>
          <w:p w:rsidR="00057055" w:rsidRDefault="00057055" w:rsidP="001D16E5">
            <w:pPr>
              <w:spacing w:after="3" w:line="239" w:lineRule="auto"/>
              <w:ind w:left="0" w:firstLine="0"/>
            </w:pPr>
            <w:r>
              <w:t xml:space="preserve">Lecture: Other waste treatment technologies: pyrolysis, gasification. </w:t>
            </w:r>
          </w:p>
          <w:p w:rsidR="00057055" w:rsidRDefault="00057055" w:rsidP="001D16E5">
            <w:pPr>
              <w:spacing w:after="0" w:line="259" w:lineRule="auto"/>
              <w:ind w:left="0" w:firstLine="0"/>
              <w:jc w:val="left"/>
            </w:pPr>
            <w:r>
              <w:t xml:space="preserve">Shipment of waste around the world.  </w:t>
            </w:r>
          </w:p>
        </w:tc>
        <w:tc>
          <w:tcPr>
            <w:tcW w:w="3687" w:type="dxa"/>
            <w:tcBorders>
              <w:top w:val="nil"/>
              <w:left w:val="single" w:sz="4" w:space="0" w:color="000000"/>
              <w:bottom w:val="nil"/>
              <w:right w:val="nil"/>
            </w:tcBorders>
          </w:tcPr>
          <w:p w:rsidR="00057055" w:rsidRDefault="00057055" w:rsidP="001D16E5">
            <w:pPr>
              <w:spacing w:after="67" w:line="259" w:lineRule="auto"/>
              <w:ind w:left="0" w:firstLine="0"/>
              <w:jc w:val="left"/>
            </w:pPr>
            <w:r>
              <w:t>12</w:t>
            </w:r>
            <w:r>
              <w:rPr>
                <w:vertAlign w:val="superscript"/>
              </w:rPr>
              <w:t>th</w:t>
            </w:r>
            <w:r>
              <w:t xml:space="preserve"> week:  </w:t>
            </w:r>
          </w:p>
          <w:p w:rsidR="00057055" w:rsidRDefault="00057055" w:rsidP="001D16E5">
            <w:pPr>
              <w:spacing w:after="0" w:line="259" w:lineRule="auto"/>
              <w:ind w:left="0" w:firstLine="0"/>
              <w:jc w:val="left"/>
            </w:pPr>
            <w:r>
              <w:t xml:space="preserve">Lecture: Green engineering and sustainable design </w:t>
            </w:r>
            <w:r>
              <w:tab/>
              <w:t xml:space="preserve">aspects. </w:t>
            </w:r>
            <w:r>
              <w:tab/>
              <w:t xml:space="preserve">Integrated </w:t>
            </w:r>
            <w:r>
              <w:tab/>
              <w:t xml:space="preserve">waste management strategies.  </w:t>
            </w:r>
          </w:p>
        </w:tc>
      </w:tr>
      <w:tr w:rsidR="00057055" w:rsidTr="001D16E5">
        <w:trPr>
          <w:trHeight w:val="1144"/>
        </w:trPr>
        <w:tc>
          <w:tcPr>
            <w:tcW w:w="3685" w:type="dxa"/>
            <w:tcBorders>
              <w:top w:val="nil"/>
              <w:left w:val="nil"/>
              <w:bottom w:val="nil"/>
              <w:right w:val="single" w:sz="4" w:space="0" w:color="000000"/>
            </w:tcBorders>
          </w:tcPr>
          <w:p w:rsidR="00057055" w:rsidRDefault="00057055" w:rsidP="001D16E5">
            <w:pPr>
              <w:spacing w:after="67" w:line="259" w:lineRule="auto"/>
              <w:ind w:left="0" w:firstLine="0"/>
              <w:jc w:val="left"/>
            </w:pPr>
            <w:r>
              <w:t>13</w:t>
            </w:r>
            <w:r>
              <w:rPr>
                <w:vertAlign w:val="superscript"/>
              </w:rPr>
              <w:t>th</w:t>
            </w:r>
            <w:r>
              <w:t xml:space="preserve"> week:  </w:t>
            </w:r>
          </w:p>
          <w:p w:rsidR="00057055" w:rsidRDefault="00057055" w:rsidP="001D16E5">
            <w:pPr>
              <w:spacing w:after="0" w:line="259" w:lineRule="auto"/>
              <w:ind w:left="0" w:right="45" w:firstLine="0"/>
            </w:pPr>
            <w:r>
              <w:t xml:space="preserve">Lecture: Processing and utilization of plastic and rubber wastes, degradable plastics and their significance in waste management. </w:t>
            </w:r>
          </w:p>
        </w:tc>
        <w:tc>
          <w:tcPr>
            <w:tcW w:w="3687" w:type="dxa"/>
            <w:tcBorders>
              <w:top w:val="nil"/>
              <w:left w:val="single" w:sz="4" w:space="0" w:color="000000"/>
              <w:bottom w:val="nil"/>
              <w:right w:val="nil"/>
            </w:tcBorders>
          </w:tcPr>
          <w:p w:rsidR="00057055" w:rsidRDefault="00057055" w:rsidP="001D16E5">
            <w:pPr>
              <w:spacing w:after="67" w:line="259" w:lineRule="auto"/>
              <w:ind w:left="0" w:firstLine="0"/>
              <w:jc w:val="left"/>
            </w:pPr>
            <w:r>
              <w:t>14</w:t>
            </w:r>
            <w:r>
              <w:rPr>
                <w:vertAlign w:val="superscript"/>
              </w:rPr>
              <w:t>th</w:t>
            </w:r>
            <w:r>
              <w:t xml:space="preserve"> week:  </w:t>
            </w:r>
          </w:p>
          <w:p w:rsidR="00057055" w:rsidRDefault="00057055" w:rsidP="001D16E5">
            <w:pPr>
              <w:spacing w:after="0" w:line="259" w:lineRule="auto"/>
              <w:ind w:left="0" w:firstLine="0"/>
            </w:pPr>
            <w:r>
              <w:t xml:space="preserve">Lecture: Waste from the chemical industry, their handling and utilization. </w:t>
            </w:r>
          </w:p>
        </w:tc>
      </w:tr>
      <w:tr w:rsidR="00057055" w:rsidTr="001D16E5">
        <w:trPr>
          <w:trHeight w:val="365"/>
        </w:trPr>
        <w:tc>
          <w:tcPr>
            <w:tcW w:w="3685" w:type="dxa"/>
            <w:tcBorders>
              <w:top w:val="nil"/>
              <w:left w:val="nil"/>
              <w:bottom w:val="nil"/>
              <w:right w:val="nil"/>
            </w:tcBorders>
            <w:shd w:val="clear" w:color="auto" w:fill="F2F2F2"/>
          </w:tcPr>
          <w:p w:rsidR="00057055" w:rsidRDefault="00057055" w:rsidP="001D16E5">
            <w:pPr>
              <w:spacing w:after="0" w:line="259" w:lineRule="auto"/>
              <w:ind w:left="0" w:firstLine="0"/>
              <w:jc w:val="left"/>
            </w:pPr>
            <w:r>
              <w:t>15</w:t>
            </w:r>
            <w:r>
              <w:rPr>
                <w:vertAlign w:val="superscript"/>
              </w:rPr>
              <w:t>th</w:t>
            </w:r>
            <w:r>
              <w:t xml:space="preserve"> week: 2</w:t>
            </w:r>
            <w:r>
              <w:rPr>
                <w:vertAlign w:val="superscript"/>
              </w:rPr>
              <w:t>nd</w:t>
            </w:r>
            <w:r>
              <w:t xml:space="preserve"> drawing week </w:t>
            </w:r>
          </w:p>
        </w:tc>
        <w:tc>
          <w:tcPr>
            <w:tcW w:w="3687" w:type="dxa"/>
            <w:tcBorders>
              <w:top w:val="nil"/>
              <w:left w:val="nil"/>
              <w:bottom w:val="nil"/>
              <w:right w:val="nil"/>
            </w:tcBorders>
            <w:shd w:val="clear" w:color="auto" w:fill="F2F2F2"/>
          </w:tcPr>
          <w:p w:rsidR="00057055" w:rsidRDefault="00057055" w:rsidP="001D16E5">
            <w:pPr>
              <w:spacing w:after="160" w:line="259" w:lineRule="auto"/>
              <w:ind w:left="0" w:firstLine="0"/>
              <w:jc w:val="left"/>
            </w:pPr>
          </w:p>
        </w:tc>
      </w:tr>
    </w:tbl>
    <w:p w:rsidR="00057055" w:rsidRDefault="00057055" w:rsidP="00057055">
      <w:pPr>
        <w:spacing w:after="42" w:line="259" w:lineRule="auto"/>
        <w:ind w:left="2" w:firstLine="0"/>
        <w:jc w:val="left"/>
      </w:pPr>
      <w:r>
        <w:t xml:space="preserve"> </w:t>
      </w:r>
    </w:p>
    <w:p w:rsidR="00057055" w:rsidRDefault="00057055" w:rsidP="00057055">
      <w:pPr>
        <w:ind w:left="-3" w:right="112"/>
      </w:pPr>
      <w:r>
        <w:t xml:space="preserve">Requirements </w:t>
      </w:r>
    </w:p>
    <w:p w:rsidR="00057055" w:rsidRDefault="00057055" w:rsidP="00057055">
      <w:pPr>
        <w:ind w:left="-3" w:right="112"/>
      </w:pPr>
      <w:r>
        <w:t xml:space="preserve">A, for a signature: </w:t>
      </w:r>
    </w:p>
    <w:p w:rsidR="00057055" w:rsidRDefault="00057055" w:rsidP="00057055">
      <w:pPr>
        <w:ind w:left="-3" w:right="112"/>
      </w:pPr>
      <w:r>
        <w:t xml:space="preserve">Attendance at lectures is recommended, but not compulsory. Active participation is requested and evaluated by the teacher in every class. There are no tests during the semester. </w:t>
      </w:r>
    </w:p>
    <w:p w:rsidR="00057055" w:rsidRDefault="00057055" w:rsidP="00057055">
      <w:pPr>
        <w:ind w:left="-3" w:right="112"/>
      </w:pPr>
      <w:r>
        <w:t xml:space="preserve">B, for a grade: </w:t>
      </w:r>
    </w:p>
    <w:p w:rsidR="00057055" w:rsidRDefault="00057055" w:rsidP="00057055">
      <w:pPr>
        <w:ind w:left="-3" w:right="112"/>
      </w:pPr>
      <w:r>
        <w:t xml:space="preserve">The course ends in a written exam covering the whole semester material and the students get a grade on the bases of its result. The minimum requirement for the end-term test is 60%.  </w:t>
      </w:r>
    </w:p>
    <w:p w:rsidR="00057055" w:rsidRDefault="00057055" w:rsidP="00057055">
      <w:pPr>
        <w:ind w:left="-3" w:right="112"/>
      </w:pPr>
      <w:r>
        <w:t xml:space="preserve">The grade for the tests is given according to the following (score/grade):  </w:t>
      </w:r>
    </w:p>
    <w:p w:rsidR="00057055" w:rsidRDefault="00057055" w:rsidP="00057055">
      <w:pPr>
        <w:ind w:left="-3" w:right="112"/>
      </w:pPr>
      <w:r>
        <w:t xml:space="preserve">0 – 59: fail (1); 60 – 69 points: pass (2); 70 – 79 points: satisfactory (3); 80 – 89 points: good (4); 90 – 100 points: excellent (5) </w:t>
      </w:r>
    </w:p>
    <w:p w:rsidR="00057055" w:rsidRDefault="00057055" w:rsidP="00057055">
      <w:pPr>
        <w:ind w:left="-3" w:right="112"/>
      </w:pPr>
      <w:r>
        <w:t xml:space="preserve">If the score of the end-term test is below 60, the student will be allowed to write it again and improve their grades. </w:t>
      </w:r>
    </w:p>
    <w:p w:rsidR="0088617F" w:rsidRDefault="0088617F">
      <w:bookmarkStart w:id="0" w:name="_GoBack"/>
      <w:bookmarkEnd w:id="0"/>
    </w:p>
    <w:sectPr w:rsidR="00886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069"/>
    <w:multiLevelType w:val="hybridMultilevel"/>
    <w:tmpl w:val="99C82A98"/>
    <w:lvl w:ilvl="0" w:tplc="4D320F06">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EEBFB0">
      <w:start w:val="1"/>
      <w:numFmt w:val="bullet"/>
      <w:lvlText w:val="o"/>
      <w:lvlJc w:val="left"/>
      <w:pPr>
        <w:ind w:left="1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0259BA">
      <w:start w:val="1"/>
      <w:numFmt w:val="bullet"/>
      <w:lvlText w:val="▪"/>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14EE78">
      <w:start w:val="1"/>
      <w:numFmt w:val="bullet"/>
      <w:lvlText w:val="•"/>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AC173C">
      <w:start w:val="1"/>
      <w:numFmt w:val="bullet"/>
      <w:lvlText w:val="o"/>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44694E">
      <w:start w:val="1"/>
      <w:numFmt w:val="bullet"/>
      <w:lvlText w:val="▪"/>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D256A6">
      <w:start w:val="1"/>
      <w:numFmt w:val="bullet"/>
      <w:lvlText w:val="•"/>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42DF6E">
      <w:start w:val="1"/>
      <w:numFmt w:val="bullet"/>
      <w:lvlText w:val="o"/>
      <w:lvlJc w:val="left"/>
      <w:pPr>
        <w:ind w:left="5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2494B6">
      <w:start w:val="1"/>
      <w:numFmt w:val="bullet"/>
      <w:lvlText w:val="▪"/>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55"/>
    <w:rsid w:val="00057055"/>
    <w:rsid w:val="008861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CECA3-3C1C-40CA-B39A-D47817C2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57055"/>
    <w:pPr>
      <w:spacing w:after="49" w:line="251" w:lineRule="auto"/>
      <w:ind w:left="13" w:hanging="10"/>
      <w:jc w:val="both"/>
    </w:pPr>
    <w:rPr>
      <w:rFonts w:ascii="Calibri" w:eastAsia="Calibri" w:hAnsi="Calibri" w:cs="Calibri"/>
      <w:color w:val="000000"/>
      <w:sz w:val="20"/>
      <w:lang w:eastAsia="hu-HU"/>
    </w:rPr>
  </w:style>
  <w:style w:type="paragraph" w:styleId="Cmsor1">
    <w:name w:val="heading 1"/>
    <w:next w:val="Norml"/>
    <w:link w:val="Cmsor1Char"/>
    <w:uiPriority w:val="9"/>
    <w:unhideWhenUsed/>
    <w:qFormat/>
    <w:rsid w:val="00057055"/>
    <w:pPr>
      <w:keepNext/>
      <w:keepLines/>
      <w:spacing w:after="29" w:line="249" w:lineRule="auto"/>
      <w:ind w:left="17" w:hanging="10"/>
      <w:outlineLvl w:val="0"/>
    </w:pPr>
    <w:rPr>
      <w:rFonts w:ascii="Calibri" w:eastAsia="Calibri" w:hAnsi="Calibri" w:cs="Calibri"/>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57055"/>
    <w:rPr>
      <w:rFonts w:ascii="Calibri" w:eastAsia="Calibri" w:hAnsi="Calibri" w:cs="Calibri"/>
      <w:color w:val="000000"/>
      <w:lang w:eastAsia="hu-HU"/>
    </w:rPr>
  </w:style>
  <w:style w:type="table" w:customStyle="1" w:styleId="TableGrid">
    <w:name w:val="TableGrid"/>
    <w:rsid w:val="00057055"/>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4026</Characters>
  <Application>Microsoft Office Word</Application>
  <DocSecurity>0</DocSecurity>
  <Lines>33</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Popovics Máté</dc:creator>
  <cp:keywords/>
  <dc:description/>
  <cp:lastModifiedBy>Popovics Máté</cp:lastModifiedBy>
  <cp:revision>1</cp:revision>
  <dcterms:created xsi:type="dcterms:W3CDTF">2022-06-19T12:49:00Z</dcterms:created>
  <dcterms:modified xsi:type="dcterms:W3CDTF">2022-06-19T12:50:00Z</dcterms:modified>
</cp:coreProperties>
</file>