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W w:w="0" w:type="auto"/>
        <w:tblLook w:val="04A0"/>
      </w:tblPr>
      <w:tblGrid>
        <w:gridCol w:w="9212"/>
      </w:tblGrid>
      <w:tr w:rsidR="00D60BAA" w:rsidRPr="00D60BAA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D60BAA" w:rsidRPr="00D60BAA" w:rsidRDefault="00D60BAA" w:rsidP="00D60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hu-HU"/>
              </w:rPr>
            </w:pPr>
            <w:r w:rsidRPr="00D60B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hu-HU"/>
              </w:rPr>
              <w:t xml:space="preserve">Measurement and Automatics II.  </w:t>
            </w:r>
          </w:p>
        </w:tc>
      </w:tr>
    </w:tbl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Code: MFMET32R04-EN </w:t>
      </w:r>
    </w:p>
    <w:p w:rsidR="00D60BAA" w:rsidRDefault="00D60BAA" w:rsidP="00D60B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ECTS Credit Points: 4 </w:t>
      </w:r>
    </w:p>
    <w:p w:rsidR="00BF6FD5" w:rsidRPr="00D60BAA" w:rsidRDefault="00BF6FD5" w:rsidP="00D60B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Evaluation: mid-semester grade</w:t>
      </w:r>
    </w:p>
    <w:p w:rsidR="00D60BAA" w:rsidRPr="00D60BAA" w:rsidRDefault="00D60BAA" w:rsidP="00D60B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Year, Semester: 3</w:t>
      </w:r>
      <w:r w:rsidRPr="00D60BAA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rd</w:t>
      </w: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year/1</w:t>
      </w:r>
      <w:r w:rsidR="00BF6FD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st</w:t>
      </w: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semester</w:t>
      </w:r>
    </w:p>
    <w:p w:rsidR="00D60BAA" w:rsidRPr="00D60BAA" w:rsidRDefault="00D60BAA" w:rsidP="00D60B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Number of teaching hours/week:</w:t>
      </w:r>
    </w:p>
    <w:p w:rsidR="00D60BAA" w:rsidRPr="00D60BAA" w:rsidRDefault="00D60BAA" w:rsidP="00D60B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Lecture: </w:t>
      </w:r>
      <w:r w:rsidRPr="00D60BAA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D60BAA" w:rsidRPr="00D60BAA" w:rsidRDefault="00D60BAA" w:rsidP="00D60BA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Practice: </w:t>
      </w:r>
      <w:r w:rsidRPr="00D60BAA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Prerequisites: </w:t>
      </w:r>
      <w:proofErr w:type="spellStart"/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Electrotechnics</w:t>
      </w:r>
      <w:proofErr w:type="spellEnd"/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 and Electronics II. MFELT32G02-EN, </w:t>
      </w:r>
    </w:p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           Measurement and Automatics I. </w:t>
      </w:r>
      <w:r w:rsidRPr="00C26A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val="en-US" w:eastAsia="hu-HU"/>
        </w:rPr>
        <w:t>MFMET31R03-EN</w:t>
      </w:r>
    </w:p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Topics</w:t>
      </w:r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: </w:t>
      </w:r>
    </w:p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Different theoretical foundation of control engineering.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Technical and application control functions.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Programmable logic controllers.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Members of the control loop. The members of the control loop steady state analysis.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Linear transition state regulations.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Linear members describing state transition.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Control loop analysis.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Stability and quality characteristics.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Selection and setting of regulators.</w:t>
      </w:r>
      <w:proofErr w:type="gram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</w:t>
      </w:r>
      <w:proofErr w:type="gram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Digital controllers.</w:t>
      </w:r>
      <w:proofErr w:type="gramEnd"/>
    </w:p>
    <w:p w:rsidR="00D60BAA" w:rsidRPr="00D60BAA" w:rsidRDefault="00D60BAA" w:rsidP="00D60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  <w:t xml:space="preserve">Literature: </w:t>
      </w:r>
    </w:p>
    <w:p w:rsidR="00D60BAA" w:rsidRPr="00D60BAA" w:rsidRDefault="00D60BAA" w:rsidP="00D60BA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Robert H. Bishop: </w:t>
      </w:r>
      <w:proofErr w:type="spell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Labview</w:t>
      </w:r>
      <w:proofErr w:type="spell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2009 student edition, 2009, Prentice Hall, ISBN-13:978-0132141291</w:t>
      </w:r>
    </w:p>
    <w:p w:rsidR="00D60BAA" w:rsidRPr="00D60BAA" w:rsidRDefault="00D60BAA" w:rsidP="00D60BA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Travis, Jeffrey </w:t>
      </w:r>
      <w:proofErr w:type="spell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LabVIEW</w:t>
      </w:r>
      <w:proofErr w:type="spell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for everyone: graphical programming made easy and fun / Jeffrey Travis, Jim </w:t>
      </w:r>
      <w:proofErr w:type="spellStart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Kring</w:t>
      </w:r>
      <w:proofErr w:type="spellEnd"/>
      <w:r w:rsidRPr="00D60B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2007. p:1032</w:t>
      </w:r>
    </w:p>
    <w:p w:rsidR="00D758AF" w:rsidRPr="005C352A" w:rsidRDefault="00D758AF" w:rsidP="00D758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758AF" w:rsidRPr="005C352A" w:rsidRDefault="00D758AF" w:rsidP="00D758AF">
      <w:pPr>
        <w:pStyle w:val="Default"/>
        <w:rPr>
          <w:rFonts w:ascii="Times New Roman" w:hAnsi="Times New Roman" w:cs="Times New Roman"/>
          <w:b/>
          <w:lang w:val="en-US"/>
        </w:rPr>
      </w:pPr>
      <w:r w:rsidRPr="005C352A">
        <w:rPr>
          <w:rFonts w:ascii="Times New Roman" w:hAnsi="Times New Roman" w:cs="Times New Roman"/>
          <w:b/>
          <w:lang w:val="en-US"/>
        </w:rPr>
        <w:t>Schedule</w:t>
      </w:r>
    </w:p>
    <w:tbl>
      <w:tblPr>
        <w:tblStyle w:val="Rcsostblzat"/>
        <w:tblW w:w="10364" w:type="dxa"/>
        <w:tblLook w:val="04A0"/>
      </w:tblPr>
      <w:tblGrid>
        <w:gridCol w:w="5182"/>
        <w:gridCol w:w="5182"/>
      </w:tblGrid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026B4" w:rsidRPr="00B026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B02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The theoretical bases of control technology. Basic concepts, symbols and allocation.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omparison of control and feedback control.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ubdivision of control and feedback control.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General description about laboratory regulations. Accident prevention and safety education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Feedback control. Signs and charact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eristics of a control loop. L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oop tags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sensor,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signal generator, subtraction, signal processing,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amplifier,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actuator). Automatic feedback control subdivision.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ealization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of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logic functions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And, Or, Not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with relays.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 C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ontrol systems. Boolean algebra, basic operations (And, Or, Not). Basic identity of Boolean algebra.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Nor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logic functions realization with relays.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De Morgan's theorems. Two-variable logic functions (Nor, Inhibition, </w:t>
            </w:r>
            <w:proofErr w:type="spellStart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Antivalency</w:t>
            </w:r>
            <w:proofErr w:type="spellEnd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, Equivalency, Implication).</w:t>
            </w: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 xml:space="preserve">Practice: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ompilation </w:t>
            </w:r>
            <w:r>
              <w:rPr>
                <w:rFonts w:ascii="Times New Roman" w:hAnsi="Times New Roman" w:cs="Times New Roman"/>
                <w:lang w:val="en-US"/>
              </w:rPr>
              <w:t>of l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ogical relations on practicing board with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5C352A">
              <w:rPr>
                <w:rFonts w:ascii="Times New Roman" w:hAnsi="Times New Roman" w:cs="Times New Roman"/>
                <w:lang w:val="en-US"/>
              </w:rPr>
              <w:t>Nand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gates.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Functions to simplify algebraic and graphical way. Operation and programming of freely programmable logic controllers (PLCs).</w:t>
            </w:r>
          </w:p>
          <w:p w:rsidR="00D758AF" w:rsidRPr="005C352A" w:rsidRDefault="00D758AF" w:rsidP="00B1698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ompilation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l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ogical relations on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practicing board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with Nor gates.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Linear Control Systems. Test methods (time domain, frequency domain, and transfer functions method).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PLC programming. Measuring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internal timers and counters. 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Linear control steady-state operation. Linear terms (P, I, D) and transmission coefficient. Linear coupling of tags (serial, parallel, feedback).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nalysis and determination of one variable proportional transfer function. 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 test</w:t>
            </w: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39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roportional tag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negative feedback through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proportional tag.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xamination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of  feedback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Determination of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variable proportional </w:t>
            </w:r>
            <w:r w:rsidRPr="005C352A">
              <w:rPr>
                <w:rFonts w:ascii="Times New Roman" w:hAnsi="Times New Roman" w:cs="Times New Roman"/>
                <w:lang w:val="en-US"/>
              </w:rPr>
              <w:lastRenderedPageBreak/>
              <w:t xml:space="preserve">transfer function and </w:t>
            </w:r>
            <w:r>
              <w:rPr>
                <w:rFonts w:ascii="Times New Roman" w:hAnsi="Times New Roman" w:cs="Times New Roman"/>
                <w:lang w:val="en-US"/>
              </w:rPr>
              <w:t xml:space="preserve">its </w:t>
            </w:r>
            <w:r w:rsidRPr="005C352A">
              <w:rPr>
                <w:rFonts w:ascii="Times New Roman" w:hAnsi="Times New Roman" w:cs="Times New Roman"/>
                <w:lang w:val="en-US"/>
              </w:rPr>
              <w:t>analysis.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Analysis of proportional (type 0) control. Examination of integral (type 1) control.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ain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and measur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ing a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oncept loop.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 xml:space="preserve">Analysis transfer function of two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variable proportional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tag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Style w:val="longtext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Linear feedback control transition state. Typical testing functions. Linear tags differential equations. Transfer function preparation about transmission function</w:t>
            </w:r>
            <w:r w:rsidRPr="005C352A">
              <w:rPr>
                <w:rStyle w:val="longtext"/>
                <w:lang w:val="en-US"/>
              </w:rPr>
              <w:t>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lang w:val="en-US"/>
              </w:rPr>
              <w:t>Conditions and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 of a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variable storage differentiator tag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its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 function.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Transition,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 function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differential equations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roportional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integral tag. Transition,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 function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differential equations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derivate and dead time tag. </w:t>
            </w: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Analyze proportional-integral (PI) tag transition function.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Style w:val="longtext"/>
                <w:rFonts w:ascii="Arial" w:hAnsi="Arial" w:cs="Arial"/>
                <w:color w:val="222222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loops investigation in a transition state. Control loops stability criterion with </w:t>
            </w:r>
            <w:proofErr w:type="spell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Routh</w:t>
            </w:r>
            <w:proofErr w:type="spell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-Hurwitz and high-quality specifics.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Analyzing 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proportional-derivative (PD) tag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transition function.</w:t>
            </w:r>
          </w:p>
          <w:p w:rsidR="00D758AF" w:rsidRPr="005C352A" w:rsidRDefault="00D758AF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(P, I, D, PI, PD, PID) controllers. Non-electrical quantities electrical measuring. Temperature and pressure measurement. Flowing liquids and gases in fluid volume measurement.</w:t>
            </w:r>
          </w:p>
          <w:p w:rsidR="00D758AF" w:rsidRPr="005C352A" w:rsidRDefault="00D758AF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Proportional-Integral-Derivative (PID) tag recording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transition function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function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analyzing.</w:t>
            </w:r>
          </w:p>
        </w:tc>
      </w:tr>
      <w:tr w:rsidR="00D758AF" w:rsidRPr="005C352A" w:rsidTr="00B1698E">
        <w:tc>
          <w:tcPr>
            <w:tcW w:w="5182" w:type="dxa"/>
          </w:tcPr>
          <w:p w:rsidR="00D758AF" w:rsidRPr="005C352A" w:rsidRDefault="00D758AF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End-term test</w:t>
            </w:r>
          </w:p>
        </w:tc>
        <w:tc>
          <w:tcPr>
            <w:tcW w:w="5182" w:type="dxa"/>
          </w:tcPr>
          <w:p w:rsidR="00D758AF" w:rsidRPr="005C352A" w:rsidRDefault="00D758AF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758AF" w:rsidRPr="005C352A" w:rsidRDefault="00D758AF" w:rsidP="00D758A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758AF" w:rsidRPr="005C352A" w:rsidRDefault="00D758AF" w:rsidP="00D758A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758AF" w:rsidRPr="005C352A" w:rsidRDefault="00D758AF" w:rsidP="00D758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58AF" w:rsidRPr="005C352A" w:rsidRDefault="00D758AF" w:rsidP="00D758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D758AF" w:rsidRPr="005C352A" w:rsidRDefault="00D758AF" w:rsidP="00D758A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A, for</w:t>
      </w:r>
      <w:r w:rsidR="00B02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signature:</w:t>
      </w:r>
    </w:p>
    <w:p w:rsidR="00D758AF" w:rsidRPr="005C352A" w:rsidRDefault="0007650D" w:rsidP="00B026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Attendance at</w:t>
      </w:r>
      <w:r w:rsidR="00D758AF"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8AF"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lectures </w:t>
      </w:r>
      <w:r w:rsidR="00D758AF"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is recommended, but not compulsory. </w:t>
      </w:r>
    </w:p>
    <w:p w:rsidR="00D758AF" w:rsidRPr="005C352A" w:rsidRDefault="00D758AF" w:rsidP="00B026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Participation at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is compulsory. 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tudent must attend the practice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 xml:space="preserve"> classe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s and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y not miss more than three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during the semester. In case a student </w:t>
      </w:r>
      <w:r>
        <w:rPr>
          <w:rFonts w:ascii="Times New Roman" w:hAnsi="Times New Roman" w:cs="Times New Roman"/>
          <w:sz w:val="24"/>
          <w:szCs w:val="24"/>
          <w:lang w:val="en-US"/>
        </w:rPr>
        <w:t>does so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, the subject will not be signed and the s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>tudent must repeat the course. 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tudent can’t 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>make up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 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07650D">
        <w:rPr>
          <w:rFonts w:ascii="Times New Roman" w:hAnsi="Times New Roman" w:cs="Times New Roman"/>
          <w:sz w:val="24"/>
          <w:szCs w:val="24"/>
          <w:lang w:val="en-US"/>
        </w:rPr>
        <w:t>with another group. Attendance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will be recorded by the practice leader. Being late is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 with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an absence. Missed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be made up for at a later date,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discussed with the tutor. Active participation is evaluated by the teacher in every class. If student’s behavior or conduct doesn’t meet the requirements of active participation, the teacher may ev</w:t>
      </w:r>
      <w:r w:rsidR="0007650D">
        <w:rPr>
          <w:rFonts w:ascii="Times New Roman" w:hAnsi="Times New Roman" w:cs="Times New Roman"/>
          <w:sz w:val="24"/>
          <w:szCs w:val="24"/>
          <w:lang w:val="en-US"/>
        </w:rPr>
        <w:t>aluate his/</w:t>
      </w:r>
      <w:r>
        <w:rPr>
          <w:rFonts w:ascii="Times New Roman" w:hAnsi="Times New Roman" w:cs="Times New Roman"/>
          <w:sz w:val="24"/>
          <w:szCs w:val="24"/>
          <w:lang w:val="en-US"/>
        </w:rPr>
        <w:t>her participation as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absence </w:t>
      </w:r>
      <w:r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the lack of active participation in class.</w:t>
      </w:r>
    </w:p>
    <w:p w:rsidR="00D758AF" w:rsidRPr="005C352A" w:rsidRDefault="00D758AF" w:rsidP="00D758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Students have to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submit all the twelve repor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as scheduled minimum on a sufficient level.</w:t>
      </w:r>
    </w:p>
    <w:p w:rsidR="00D758AF" w:rsidRPr="005C352A" w:rsidRDefault="00D758AF" w:rsidP="00D758A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>During the semester there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tests: the mid-term test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in the 8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 and the end-term test in the 15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week. Students have to </w:t>
      </w:r>
      <w:r>
        <w:rPr>
          <w:rFonts w:ascii="Times New Roman" w:hAnsi="Times New Roman" w:cs="Times New Roman"/>
          <w:sz w:val="24"/>
          <w:szCs w:val="24"/>
          <w:lang w:val="en-US"/>
        </w:rPr>
        <w:t>sit for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tests.</w:t>
      </w:r>
    </w:p>
    <w:p w:rsidR="00D758AF" w:rsidRPr="005C352A" w:rsidRDefault="00D758AF" w:rsidP="00D758A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8AF" w:rsidRPr="005C352A" w:rsidRDefault="00D758AF" w:rsidP="00D758A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B, for </w:t>
      </w:r>
      <w:r w:rsidR="00B02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grade:</w:t>
      </w:r>
    </w:p>
    <w:p w:rsidR="00D758AF" w:rsidRPr="005C352A" w:rsidRDefault="00D758AF" w:rsidP="00D75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The course ends in 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mid-semester grade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26B4">
        <w:rPr>
          <w:rFonts w:ascii="Times New Roman" w:hAnsi="Times New Roman" w:cs="Times New Roman"/>
          <w:sz w:val="24"/>
          <w:szCs w:val="24"/>
          <w:lang w:val="en-US"/>
        </w:rPr>
        <w:t>ased on the average of the grade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s of the drawings and th</w:t>
      </w:r>
      <w:r>
        <w:rPr>
          <w:rFonts w:ascii="Times New Roman" w:hAnsi="Times New Roman" w:cs="Times New Roman"/>
          <w:sz w:val="24"/>
          <w:szCs w:val="24"/>
          <w:lang w:val="en-US"/>
        </w:rPr>
        <w:t>e average of the test results. 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he mid-semester grade is calculated as an average of them:</w:t>
      </w:r>
    </w:p>
    <w:p w:rsidR="00D758AF" w:rsidRPr="005C352A" w:rsidRDefault="00B026B4" w:rsidP="00D758A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58AF" w:rsidRPr="005C352A">
        <w:rPr>
          <w:rFonts w:ascii="Times New Roman" w:hAnsi="Times New Roman" w:cs="Times New Roman"/>
          <w:sz w:val="24"/>
          <w:szCs w:val="24"/>
        </w:rPr>
        <w:t>average grade of the twelve report</w:t>
      </w:r>
      <w:r w:rsidR="00D758AF">
        <w:rPr>
          <w:rFonts w:ascii="Times New Roman" w:hAnsi="Times New Roman" w:cs="Times New Roman"/>
          <w:sz w:val="24"/>
          <w:szCs w:val="24"/>
        </w:rPr>
        <w:t>s</w:t>
      </w:r>
    </w:p>
    <w:p w:rsidR="00D758AF" w:rsidRPr="005C352A" w:rsidRDefault="00B026B4" w:rsidP="00D758A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58AF" w:rsidRPr="005C352A">
        <w:rPr>
          <w:rFonts w:ascii="Times New Roman" w:hAnsi="Times New Roman" w:cs="Times New Roman"/>
          <w:sz w:val="24"/>
          <w:szCs w:val="24"/>
        </w:rPr>
        <w:t xml:space="preserve">average grade of the two tests </w:t>
      </w:r>
    </w:p>
    <w:p w:rsidR="00D758AF" w:rsidRPr="005C352A" w:rsidRDefault="00D758AF" w:rsidP="00B026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minimum requirement for the mid-term </w:t>
      </w:r>
      <w:r>
        <w:rPr>
          <w:rFonts w:ascii="Times New Roman" w:hAnsi="Times New Roman" w:cs="Times New Roman"/>
          <w:sz w:val="24"/>
          <w:szCs w:val="24"/>
          <w:lang w:val="en-US"/>
        </w:rPr>
        <w:t>and end-term tests is 60%. Basing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on the score of the tests separately, the grade for the tests is given according to the following table:</w:t>
      </w:r>
    </w:p>
    <w:p w:rsidR="00D758AF" w:rsidRPr="005C352A" w:rsidRDefault="00D758AF" w:rsidP="00D758AF">
      <w:pPr>
        <w:ind w:left="35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ab/>
        <w:t>Grade</w:t>
      </w:r>
    </w:p>
    <w:p w:rsidR="00D758AF" w:rsidRPr="005C352A" w:rsidRDefault="00D758AF" w:rsidP="00D758AF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0-59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52A">
        <w:rPr>
          <w:rFonts w:ascii="Times New Roman" w:hAnsi="Times New Roman" w:cs="Times New Roman"/>
          <w:sz w:val="24"/>
          <w:szCs w:val="24"/>
        </w:rPr>
        <w:t>fail</w:t>
      </w:r>
      <w:proofErr w:type="gramEnd"/>
      <w:r w:rsidRPr="005C352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D758AF" w:rsidRPr="005C352A" w:rsidRDefault="00D758AF" w:rsidP="00D758AF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60-69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pass (2)</w:t>
      </w:r>
    </w:p>
    <w:p w:rsidR="00D758AF" w:rsidRPr="005C352A" w:rsidRDefault="00D758AF" w:rsidP="00D758AF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70-79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satisfactory (3)</w:t>
      </w:r>
    </w:p>
    <w:p w:rsidR="00D758AF" w:rsidRPr="005C352A" w:rsidRDefault="00D758AF" w:rsidP="00D758AF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80-89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good (4)</w:t>
      </w:r>
    </w:p>
    <w:p w:rsidR="00D758AF" w:rsidRPr="005C352A" w:rsidRDefault="00D758AF" w:rsidP="00D758AF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90-100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excellent (5)</w:t>
      </w: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34A29C9"/>
    <w:multiLevelType w:val="hybridMultilevel"/>
    <w:tmpl w:val="7E0AC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8AF"/>
    <w:rsid w:val="0007650D"/>
    <w:rsid w:val="000A4A54"/>
    <w:rsid w:val="00161D6B"/>
    <w:rsid w:val="002D6E9B"/>
    <w:rsid w:val="004C1851"/>
    <w:rsid w:val="00B026B4"/>
    <w:rsid w:val="00BA2DE5"/>
    <w:rsid w:val="00BF6FD5"/>
    <w:rsid w:val="00C26A5C"/>
    <w:rsid w:val="00D35CBC"/>
    <w:rsid w:val="00D60BAA"/>
    <w:rsid w:val="00D758AF"/>
    <w:rsid w:val="00F9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58A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758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D758AF"/>
    <w:pPr>
      <w:spacing w:after="200"/>
      <w:ind w:left="720"/>
      <w:contextualSpacing/>
    </w:pPr>
    <w:rPr>
      <w:lang w:val="en-US"/>
    </w:rPr>
  </w:style>
  <w:style w:type="character" w:customStyle="1" w:styleId="longtext">
    <w:name w:val="long_text"/>
    <w:basedOn w:val="Bekezdsalapbettpusa"/>
    <w:rsid w:val="00D758AF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758AF"/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D60BAA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5175</Characters>
  <Application>Microsoft Office Word</Application>
  <DocSecurity>0</DocSecurity>
  <Lines>43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2014-10-18T09:21:00Z</dcterms:created>
  <dcterms:modified xsi:type="dcterms:W3CDTF">2015-03-20T09:17:00Z</dcterms:modified>
</cp:coreProperties>
</file>