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74" w:rsidRDefault="006F7A74" w:rsidP="006F7A74">
      <w:pPr>
        <w:pStyle w:val="Cmsor4"/>
        <w:ind w:left="72"/>
      </w:pPr>
      <w:proofErr w:type="spellStart"/>
      <w:r>
        <w:t>Machine</w:t>
      </w:r>
      <w:proofErr w:type="spellEnd"/>
      <w:r>
        <w:t xml:space="preserve"> and </w:t>
      </w:r>
      <w:proofErr w:type="spellStart"/>
      <w:r>
        <w:t>Product</w:t>
      </w:r>
      <w:proofErr w:type="spellEnd"/>
      <w:r>
        <w:t xml:space="preserve"> Design </w:t>
      </w:r>
    </w:p>
    <w:p w:rsidR="006F7A74" w:rsidRDefault="006F7A74" w:rsidP="006F7A74">
      <w:pPr>
        <w:spacing w:after="78" w:line="259" w:lineRule="auto"/>
        <w:ind w:left="77" w:firstLine="0"/>
        <w:jc w:val="left"/>
      </w:pPr>
      <w:r>
        <w:t xml:space="preserve"> </w:t>
      </w:r>
    </w:p>
    <w:p w:rsidR="006F7A74" w:rsidRDefault="006F7A74" w:rsidP="006F7A74">
      <w:pPr>
        <w:ind w:left="101"/>
      </w:pPr>
      <w:proofErr w:type="spellStart"/>
      <w:r>
        <w:t>Code</w:t>
      </w:r>
      <w:proofErr w:type="spellEnd"/>
      <w:r>
        <w:t xml:space="preserve">: MK5MGTTG04GX18-EN </w:t>
      </w:r>
    </w:p>
    <w:p w:rsidR="006F7A74" w:rsidRDefault="006F7A74" w:rsidP="006F7A74">
      <w:pPr>
        <w:ind w:left="101"/>
      </w:pPr>
      <w:r>
        <w:t xml:space="preserve">ECTS Credit </w:t>
      </w:r>
      <w:proofErr w:type="spellStart"/>
      <w:r>
        <w:t>Points</w:t>
      </w:r>
      <w:proofErr w:type="spellEnd"/>
      <w:r>
        <w:t xml:space="preserve">: 4 </w:t>
      </w:r>
    </w:p>
    <w:p w:rsidR="006F7A74" w:rsidRDefault="006F7A74" w:rsidP="006F7A74">
      <w:pPr>
        <w:ind w:left="101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</w:p>
    <w:p w:rsidR="006F7A74" w:rsidRDefault="006F7A74" w:rsidP="006F7A74">
      <w:pPr>
        <w:ind w:left="101"/>
      </w:pPr>
      <w:r>
        <w:t xml:space="preserve">Year, </w:t>
      </w:r>
      <w:proofErr w:type="spellStart"/>
      <w:r>
        <w:t>Semester</w:t>
      </w:r>
      <w:proofErr w:type="spellEnd"/>
      <w:r>
        <w:t>: 1</w:t>
      </w:r>
      <w:r>
        <w:rPr>
          <w:vertAlign w:val="superscript"/>
        </w:rPr>
        <w:t>st</w:t>
      </w:r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6F7A74" w:rsidRDefault="006F7A74" w:rsidP="006F7A74">
      <w:pPr>
        <w:ind w:left="101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6F7A74" w:rsidRDefault="006F7A74" w:rsidP="006F7A74">
      <w:pPr>
        <w:ind w:left="101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</w:t>
      </w:r>
      <w:proofErr w:type="spellStart"/>
      <w:r>
        <w:rPr>
          <w:u w:val="single" w:color="000000"/>
        </w:rPr>
        <w:t>Yes</w:t>
      </w:r>
      <w:proofErr w:type="spellEnd"/>
      <w:r>
        <w:t>/</w:t>
      </w:r>
      <w:proofErr w:type="gramStart"/>
      <w:r>
        <w:t>No</w:t>
      </w:r>
      <w:proofErr w:type="gramEnd"/>
      <w:r>
        <w:t xml:space="preserve"> </w:t>
      </w:r>
    </w:p>
    <w:p w:rsidR="006F7A74" w:rsidRDefault="006F7A74" w:rsidP="006F7A74">
      <w:pPr>
        <w:ind w:left="101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2+2 </w:t>
      </w:r>
    </w:p>
    <w:p w:rsidR="006F7A74" w:rsidRDefault="006F7A74" w:rsidP="006F7A74">
      <w:pPr>
        <w:spacing w:after="78" w:line="259" w:lineRule="auto"/>
        <w:ind w:left="77" w:firstLine="0"/>
        <w:jc w:val="left"/>
      </w:pPr>
      <w:r>
        <w:t xml:space="preserve"> </w:t>
      </w:r>
    </w:p>
    <w:p w:rsidR="006F7A74" w:rsidRDefault="006F7A74" w:rsidP="006F7A74">
      <w:pPr>
        <w:ind w:left="101"/>
      </w:pPr>
      <w:proofErr w:type="spellStart"/>
      <w:r>
        <w:t>Topics</w:t>
      </w:r>
      <w:proofErr w:type="spellEnd"/>
      <w:r>
        <w:t xml:space="preserve">:  </w:t>
      </w:r>
    </w:p>
    <w:p w:rsidR="006F7A74" w:rsidRDefault="006F7A74" w:rsidP="006F7A74">
      <w:pPr>
        <w:ind w:left="101"/>
      </w:pPr>
      <w:r>
        <w:t xml:space="preserve">The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machine</w:t>
      </w:r>
      <w:proofErr w:type="spellEnd"/>
      <w:r>
        <w:t xml:space="preserve"> design,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and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methodical</w:t>
      </w:r>
      <w:proofErr w:type="spellEnd"/>
      <w:r>
        <w:t xml:space="preserve"> design.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design </w:t>
      </w:r>
      <w:proofErr w:type="spellStart"/>
      <w:r>
        <w:t>strategies</w:t>
      </w:r>
      <w:proofErr w:type="spellEnd"/>
      <w:r>
        <w:t xml:space="preserve">,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main </w:t>
      </w:r>
      <w:proofErr w:type="spellStart"/>
      <w:r>
        <w:t>steps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discursive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Birth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gramStart"/>
      <w:r>
        <w:t>idea</w:t>
      </w:r>
      <w:proofErr w:type="gramEnd"/>
      <w:r>
        <w:t xml:space="preserve">, design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, building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techniques</w:t>
      </w:r>
      <w:proofErr w:type="spellEnd"/>
      <w:r>
        <w:t xml:space="preserve"> of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principles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valuating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of design,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and assembly. In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design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of design </w:t>
      </w:r>
      <w:proofErr w:type="spellStart"/>
      <w:r>
        <w:t>methodology</w:t>
      </w:r>
      <w:proofErr w:type="spellEnd"/>
      <w:r>
        <w:t xml:space="preserve">. </w:t>
      </w:r>
    </w:p>
    <w:p w:rsidR="006F7A74" w:rsidRDefault="006F7A74" w:rsidP="006F7A74">
      <w:pPr>
        <w:spacing w:after="78" w:line="259" w:lineRule="auto"/>
        <w:ind w:left="77" w:firstLine="0"/>
        <w:jc w:val="left"/>
      </w:pPr>
      <w:r>
        <w:t xml:space="preserve"> </w:t>
      </w:r>
    </w:p>
    <w:p w:rsidR="006F7A74" w:rsidRDefault="006F7A74" w:rsidP="006F7A74">
      <w:pPr>
        <w:ind w:left="101"/>
      </w:pPr>
      <w:proofErr w:type="spellStart"/>
      <w:r>
        <w:t>Literature</w:t>
      </w:r>
      <w:proofErr w:type="spellEnd"/>
      <w:r>
        <w:t xml:space="preserve">: </w:t>
      </w:r>
    </w:p>
    <w:p w:rsidR="006F7A74" w:rsidRDefault="006F7A74" w:rsidP="006F7A74">
      <w:pPr>
        <w:spacing w:after="125"/>
        <w:ind w:left="101"/>
      </w:pPr>
      <w:proofErr w:type="spellStart"/>
      <w:r>
        <w:t>Compulsory</w:t>
      </w:r>
      <w:proofErr w:type="spellEnd"/>
      <w:r>
        <w:t xml:space="preserve">: </w:t>
      </w:r>
    </w:p>
    <w:p w:rsidR="006F7A74" w:rsidRDefault="006F7A74" w:rsidP="006F7A74">
      <w:pPr>
        <w:numPr>
          <w:ilvl w:val="0"/>
          <w:numId w:val="1"/>
        </w:numPr>
        <w:spacing w:after="50"/>
        <w:ind w:hanging="360"/>
      </w:pPr>
      <w:proofErr w:type="spellStart"/>
      <w:r>
        <w:t>G</w:t>
      </w:r>
      <w:proofErr w:type="gramStart"/>
      <w:r>
        <w:t>.Pahl</w:t>
      </w:r>
      <w:proofErr w:type="spellEnd"/>
      <w:proofErr w:type="gramEnd"/>
      <w:r>
        <w:t xml:space="preserve"> and W. </w:t>
      </w:r>
      <w:proofErr w:type="spellStart"/>
      <w:r>
        <w:t>Beitz</w:t>
      </w:r>
      <w:proofErr w:type="spellEnd"/>
      <w:r>
        <w:t xml:space="preserve">: </w:t>
      </w:r>
      <w:proofErr w:type="spellStart"/>
      <w:r>
        <w:t>Engineering</w:t>
      </w:r>
      <w:proofErr w:type="spellEnd"/>
      <w:r>
        <w:t xml:space="preserve"> Design: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Arnold </w:t>
      </w:r>
      <w:proofErr w:type="spellStart"/>
      <w:r>
        <w:t>Pomerans</w:t>
      </w:r>
      <w:proofErr w:type="spellEnd"/>
      <w:r>
        <w:t xml:space="preserve"> and Ken Wallace, The Design </w:t>
      </w:r>
      <w:proofErr w:type="spellStart"/>
      <w:r>
        <w:t>Council</w:t>
      </w:r>
      <w:proofErr w:type="spellEnd"/>
      <w:r>
        <w:t xml:space="preserve"> London, 1988, ISBN 0 85072 239x </w:t>
      </w:r>
    </w:p>
    <w:p w:rsidR="006F7A74" w:rsidRDefault="006F7A74" w:rsidP="006F7A74">
      <w:pPr>
        <w:spacing w:after="126"/>
        <w:ind w:left="101"/>
      </w:pPr>
      <w:proofErr w:type="spellStart"/>
      <w:r>
        <w:t>Recommended</w:t>
      </w:r>
      <w:proofErr w:type="spellEnd"/>
      <w:r>
        <w:t xml:space="preserve">: </w:t>
      </w:r>
    </w:p>
    <w:p w:rsidR="006F7A74" w:rsidRDefault="006F7A74" w:rsidP="006F7A74">
      <w:pPr>
        <w:numPr>
          <w:ilvl w:val="0"/>
          <w:numId w:val="1"/>
        </w:numPr>
        <w:ind w:hanging="360"/>
      </w:pPr>
      <w:r>
        <w:t>Koller R</w:t>
      </w:r>
      <w:proofErr w:type="gramStart"/>
      <w:r>
        <w:t>..:</w:t>
      </w:r>
      <w:proofErr w:type="gramEnd"/>
      <w:r>
        <w:t xml:space="preserve"> Design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Device</w:t>
      </w:r>
      <w:proofErr w:type="spellEnd"/>
      <w:r>
        <w:t xml:space="preserve"> and </w:t>
      </w:r>
      <w:proofErr w:type="spellStart"/>
      <w:r>
        <w:t>Apparatus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SpringerVerlag</w:t>
      </w:r>
      <w:proofErr w:type="spellEnd"/>
      <w:r>
        <w:t xml:space="preserve">, Berlin/Heidelberg, 1979 </w:t>
      </w:r>
    </w:p>
    <w:p w:rsidR="006F7A74" w:rsidRDefault="006F7A74" w:rsidP="006F7A74">
      <w:pPr>
        <w:numPr>
          <w:ilvl w:val="0"/>
          <w:numId w:val="1"/>
        </w:numPr>
        <w:spacing w:after="52"/>
        <w:ind w:hanging="360"/>
      </w:pPr>
      <w:hyperlink r:id="rId5">
        <w:proofErr w:type="spellStart"/>
        <w:r>
          <w:t>Amaresh</w:t>
        </w:r>
        <w:proofErr w:type="spellEnd"/>
        <w:r>
          <w:t xml:space="preserve"> </w:t>
        </w:r>
        <w:proofErr w:type="spellStart"/>
        <w:r>
          <w:t>Chakrabarti</w:t>
        </w:r>
        <w:proofErr w:type="spellEnd"/>
        <w:r>
          <w:t>:</w:t>
        </w:r>
      </w:hyperlink>
      <w:r>
        <w:t xml:space="preserve"> </w:t>
      </w:r>
      <w:proofErr w:type="spellStart"/>
      <w:r>
        <w:t>Engineering</w:t>
      </w:r>
      <w:proofErr w:type="spellEnd"/>
      <w:r>
        <w:t xml:space="preserve"> Design </w:t>
      </w:r>
      <w:proofErr w:type="spellStart"/>
      <w:r>
        <w:t>Synthesis</w:t>
      </w:r>
      <w:proofErr w:type="spellEnd"/>
      <w:r>
        <w:t xml:space="preserve">;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Tools</w:t>
      </w:r>
      <w:proofErr w:type="spellEnd"/>
      <w:r>
        <w:t xml:space="preserve">, Springer, 2002, ISBN: 978-1-84996-876-8 (Print) 978-1-4471-3717-7 (Online)  </w:t>
      </w:r>
    </w:p>
    <w:p w:rsidR="006F7A74" w:rsidRDefault="006F7A74" w:rsidP="006F7A74">
      <w:pPr>
        <w:spacing w:after="78" w:line="259" w:lineRule="auto"/>
        <w:ind w:left="77" w:firstLine="0"/>
        <w:jc w:val="left"/>
      </w:pPr>
      <w:r>
        <w:t xml:space="preserve"> </w:t>
      </w:r>
    </w:p>
    <w:p w:rsidR="006F7A74" w:rsidRDefault="006F7A74" w:rsidP="006F7A74">
      <w:pPr>
        <w:ind w:left="101"/>
      </w:pPr>
      <w:r>
        <w:t xml:space="preserve">Schedule </w:t>
      </w:r>
    </w:p>
    <w:tbl>
      <w:tblPr>
        <w:tblStyle w:val="TableGrid"/>
        <w:tblW w:w="7372" w:type="dxa"/>
        <w:tblInd w:w="77" w:type="dxa"/>
        <w:tblCellMar>
          <w:top w:w="10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6F7A74" w:rsidTr="001D16E5">
        <w:trPr>
          <w:trHeight w:val="4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F7A74" w:rsidRDefault="006F7A74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6F7A74" w:rsidTr="001D16E5">
        <w:trPr>
          <w:trHeight w:val="163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7A74" w:rsidRDefault="006F7A74" w:rsidP="001D16E5">
            <w:pPr>
              <w:spacing w:after="106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lifetime</w:t>
            </w:r>
            <w:proofErr w:type="spellEnd"/>
            <w:r>
              <w:t xml:space="preserve"> of </w:t>
            </w:r>
            <w:proofErr w:type="spellStart"/>
            <w:r>
              <w:t>products</w:t>
            </w:r>
            <w:proofErr w:type="spellEnd"/>
            <w:r>
              <w:t xml:space="preserve">. </w:t>
            </w: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products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issuing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1. </w:t>
            </w:r>
            <w:proofErr w:type="spellStart"/>
            <w:r>
              <w:t>task</w:t>
            </w:r>
            <w:proofErr w:type="spellEnd"/>
            <w:r>
              <w:t xml:space="preserve">. </w:t>
            </w:r>
            <w:proofErr w:type="spellStart"/>
            <w:r>
              <w:t>Compilation</w:t>
            </w:r>
            <w:proofErr w:type="spellEnd"/>
            <w:r>
              <w:t xml:space="preserve"> of </w:t>
            </w:r>
            <w:proofErr w:type="spellStart"/>
            <w:r>
              <w:t>requirements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General </w:t>
            </w:r>
            <w:proofErr w:type="spellStart"/>
            <w:r>
              <w:t>process</w:t>
            </w:r>
            <w:proofErr w:type="spellEnd"/>
            <w:r>
              <w:t xml:space="preserve"> flow of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process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products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requirements</w:t>
            </w:r>
            <w:proofErr w:type="spellEnd"/>
            <w:r>
              <w:t xml:space="preserve">. </w:t>
            </w:r>
          </w:p>
        </w:tc>
      </w:tr>
      <w:tr w:rsidR="006F7A74" w:rsidTr="001D16E5">
        <w:trPr>
          <w:trHeight w:val="164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Design </w:t>
            </w:r>
            <w:proofErr w:type="spellStart"/>
            <w:r>
              <w:t>strategies</w:t>
            </w:r>
            <w:proofErr w:type="spellEnd"/>
            <w:r>
              <w:t xml:space="preserve">. The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methodical</w:t>
            </w:r>
            <w:proofErr w:type="spellEnd"/>
            <w:r>
              <w:t xml:space="preserve"> design. </w:t>
            </w:r>
          </w:p>
          <w:p w:rsidR="006F7A74" w:rsidRDefault="006F7A74" w:rsidP="001D16E5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products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requirements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53" w:line="284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Product</w:t>
            </w:r>
            <w:proofErr w:type="spellEnd"/>
            <w:r>
              <w:t xml:space="preserve"> design, </w:t>
            </w:r>
            <w:proofErr w:type="spellStart"/>
            <w:r>
              <w:t>specification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Compilation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r>
              <w:tab/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proofErr w:type="spellStart"/>
            <w:r>
              <w:t>requirements</w:t>
            </w:r>
            <w:proofErr w:type="spellEnd"/>
            <w:r>
              <w:t xml:space="preserve">. 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Issuing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. </w:t>
            </w:r>
          </w:p>
        </w:tc>
      </w:tr>
      <w:tr w:rsidR="006F7A74" w:rsidTr="001D16E5">
        <w:trPr>
          <w:trHeight w:val="1709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lastRenderedPageBreak/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Conception</w:t>
            </w:r>
            <w:proofErr w:type="spellEnd"/>
            <w:r>
              <w:t xml:space="preserve"> design. </w:t>
            </w:r>
            <w:proofErr w:type="spellStart"/>
            <w:r>
              <w:t>Abstraction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The </w:t>
            </w:r>
            <w:proofErr w:type="spellStart"/>
            <w:r>
              <w:t>process</w:t>
            </w:r>
            <w:proofErr w:type="spellEnd"/>
            <w:r>
              <w:t xml:space="preserve"> flow of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process</w:t>
            </w:r>
            <w:proofErr w:type="spellEnd"/>
            <w:r>
              <w:t xml:space="preserve">. 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78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The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78" w:line="259" w:lineRule="auto"/>
              <w:ind w:left="0" w:firstLine="0"/>
              <w:jc w:val="left"/>
            </w:pPr>
            <w:r>
              <w:t xml:space="preserve">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Building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. </w:t>
            </w:r>
          </w:p>
        </w:tc>
      </w:tr>
      <w:tr w:rsidR="006F7A74" w:rsidTr="001D16E5">
        <w:trPr>
          <w:trHeight w:val="401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7A74" w:rsidTr="001D16E5">
        <w:trPr>
          <w:trHeight w:val="1639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7A74" w:rsidRDefault="006F7A74" w:rsidP="001D16E5">
            <w:pPr>
              <w:spacing w:after="104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right="58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Looking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, </w:t>
            </w:r>
            <w:proofErr w:type="spellStart"/>
            <w:r>
              <w:t>combination</w:t>
            </w:r>
            <w:proofErr w:type="spellEnd"/>
            <w:r>
              <w:t xml:space="preserve"> of </w:t>
            </w:r>
            <w:proofErr w:type="spellStart"/>
            <w:r>
              <w:t>principles</w:t>
            </w:r>
            <w:proofErr w:type="spellEnd"/>
            <w:r>
              <w:t xml:space="preserve">. </w:t>
            </w:r>
            <w:proofErr w:type="spellStart"/>
            <w:r>
              <w:t>Selection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variations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Building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variations</w:t>
            </w:r>
            <w:proofErr w:type="spellEnd"/>
            <w:r>
              <w:t xml:space="preserve"> of </w:t>
            </w:r>
            <w:proofErr w:type="spellStart"/>
            <w:r>
              <w:t>solutions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3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valuating</w:t>
            </w:r>
            <w:proofErr w:type="spellEnd"/>
            <w:r>
              <w:t xml:space="preserve">. </w:t>
            </w:r>
            <w:proofErr w:type="spellStart"/>
            <w:r>
              <w:t>Valuating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process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valuating</w:t>
            </w:r>
            <w:proofErr w:type="spellEnd"/>
            <w:r>
              <w:t xml:space="preserve">. </w:t>
            </w:r>
            <w:proofErr w:type="spellStart"/>
            <w:r>
              <w:t>Choosing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. </w:t>
            </w:r>
          </w:p>
        </w:tc>
      </w:tr>
      <w:tr w:rsidR="006F7A74" w:rsidTr="001D16E5">
        <w:trPr>
          <w:trHeight w:val="136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7A74" w:rsidRDefault="006F7A74" w:rsidP="001D16E5">
            <w:pPr>
              <w:spacing w:after="103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78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>: mid-</w:t>
            </w:r>
            <w:proofErr w:type="spellStart"/>
            <w:r>
              <w:t>term</w:t>
            </w:r>
            <w:proofErr w:type="spellEnd"/>
            <w:r>
              <w:t xml:space="preserve"> test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elaborating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3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0" w:line="277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Basic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construction</w:t>
            </w:r>
            <w:proofErr w:type="spellEnd"/>
            <w:r>
              <w:t xml:space="preserve">.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elaborating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  </w:t>
            </w:r>
          </w:p>
        </w:tc>
      </w:tr>
      <w:tr w:rsidR="006F7A74" w:rsidTr="001D16E5">
        <w:trPr>
          <w:trHeight w:val="193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7A74" w:rsidRDefault="006F7A74" w:rsidP="001D16E5">
            <w:pPr>
              <w:spacing w:after="103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73" w:line="277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Guidelines</w:t>
            </w:r>
            <w:proofErr w:type="spellEnd"/>
            <w:r>
              <w:t xml:space="preserve"> of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proper</w:t>
            </w:r>
            <w:proofErr w:type="spellEnd"/>
            <w:r>
              <w:t xml:space="preserve"> design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>
              <w:t xml:space="preserve"> and assembly. 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r>
              <w:tab/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7A74" w:rsidRDefault="006F7A74" w:rsidP="001D16E5">
            <w:pPr>
              <w:spacing w:after="103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6F7A74" w:rsidRDefault="006F7A74" w:rsidP="001D16E5">
            <w:pPr>
              <w:spacing w:after="66" w:line="284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documentation-systems</w:t>
            </w:r>
            <w:proofErr w:type="spellEnd"/>
            <w:r>
              <w:t xml:space="preserve">.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r>
              <w:tab/>
              <w:t xml:space="preserve">preparing </w:t>
            </w:r>
            <w:r>
              <w:tab/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.  </w:t>
            </w:r>
          </w:p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r>
              <w:tab/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. </w:t>
            </w:r>
          </w:p>
        </w:tc>
      </w:tr>
      <w:tr w:rsidR="006F7A74" w:rsidTr="001D16E5">
        <w:trPr>
          <w:trHeight w:val="4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F7A74" w:rsidRDefault="006F7A74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F7A74" w:rsidRDefault="006F7A74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F7A74" w:rsidRDefault="006F7A74" w:rsidP="006F7A74">
      <w:pPr>
        <w:spacing w:after="42" w:line="259" w:lineRule="auto"/>
        <w:ind w:left="77" w:firstLine="0"/>
        <w:jc w:val="left"/>
      </w:pPr>
      <w:r>
        <w:t xml:space="preserve"> </w:t>
      </w:r>
    </w:p>
    <w:p w:rsidR="006F7A74" w:rsidRDefault="006F7A74" w:rsidP="006F7A74">
      <w:pPr>
        <w:ind w:left="101"/>
      </w:pPr>
      <w:proofErr w:type="spellStart"/>
      <w:r>
        <w:t>Requirements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6F7A74" w:rsidRDefault="006F7A74" w:rsidP="006F7A74">
      <w:pPr>
        <w:ind w:left="101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.  </w:t>
      </w:r>
    </w:p>
    <w:p w:rsidR="006F7A74" w:rsidRDefault="006F7A74" w:rsidP="006F7A74">
      <w:pPr>
        <w:ind w:left="101"/>
      </w:pPr>
      <w:proofErr w:type="spellStart"/>
      <w:r>
        <w:t>Participation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misses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. </w:t>
      </w:r>
    </w:p>
    <w:p w:rsidR="006F7A74" w:rsidRDefault="006F7A74" w:rsidP="006F7A74">
      <w:pPr>
        <w:ind w:left="101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minimum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6F7A74" w:rsidRDefault="006F7A74" w:rsidP="006F7A74">
      <w:pPr>
        <w:ind w:left="101"/>
      </w:pPr>
      <w:r>
        <w:t xml:space="preserve">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end-</w:t>
      </w:r>
      <w:proofErr w:type="spellStart"/>
      <w:r>
        <w:t>term</w:t>
      </w:r>
      <w:proofErr w:type="spellEnd"/>
      <w:r>
        <w:t xml:space="preserve"> test. </w:t>
      </w:r>
    </w:p>
    <w:p w:rsidR="006F7A74" w:rsidRDefault="006F7A74" w:rsidP="006F7A74">
      <w:pPr>
        <w:ind w:left="101"/>
      </w:pPr>
      <w:r>
        <w:t xml:space="preserve">B,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: </w:t>
      </w:r>
    </w:p>
    <w:p w:rsidR="006F7A74" w:rsidRDefault="006F7A74" w:rsidP="006F7A74">
      <w:pPr>
        <w:ind w:left="101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in </w:t>
      </w:r>
      <w:proofErr w:type="spellStart"/>
      <w:r>
        <w:t>exam</w:t>
      </w:r>
      <w:proofErr w:type="spellEnd"/>
      <w:r>
        <w:t xml:space="preserve">. 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73D12"/>
    <w:multiLevelType w:val="hybridMultilevel"/>
    <w:tmpl w:val="4AA0622A"/>
    <w:lvl w:ilvl="0" w:tplc="630E923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4B38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5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8282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8707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A8AC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8318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009B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CC51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4"/>
    <w:rsid w:val="006F7A74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196C-EFCC-46D9-B361-AC057E4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A74"/>
    <w:pPr>
      <w:spacing w:after="87" w:line="251" w:lineRule="auto"/>
      <w:ind w:left="11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4">
    <w:name w:val="heading 4"/>
    <w:next w:val="Norml"/>
    <w:link w:val="Cmsor4Char"/>
    <w:uiPriority w:val="9"/>
    <w:unhideWhenUsed/>
    <w:qFormat/>
    <w:rsid w:val="006F7A74"/>
    <w:pPr>
      <w:keepNext/>
      <w:keepLines/>
      <w:spacing w:after="70" w:line="249" w:lineRule="auto"/>
      <w:ind w:left="17" w:hanging="10"/>
      <w:outlineLvl w:val="3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F7A74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6F7A7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search?facet-creator=%22Amaresh+Chakrabarti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2022-06-19T12:41:00Z</dcterms:created>
  <dcterms:modified xsi:type="dcterms:W3CDTF">2022-06-19T12:41:00Z</dcterms:modified>
</cp:coreProperties>
</file>