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AF" w:rsidRDefault="00366FAF" w:rsidP="00366FAF">
      <w:pPr>
        <w:pStyle w:val="Cmsor1"/>
        <w:ind w:left="2"/>
      </w:pPr>
      <w:proofErr w:type="spellStart"/>
      <w:r>
        <w:t>Built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</w:p>
    <w:p w:rsidR="00366FAF" w:rsidRDefault="00366FAF" w:rsidP="00366FAF">
      <w:pPr>
        <w:spacing w:after="40" w:line="259" w:lineRule="auto"/>
        <w:ind w:left="2" w:firstLine="0"/>
        <w:jc w:val="left"/>
      </w:pPr>
      <w:r>
        <w:t xml:space="preserve"> </w:t>
      </w:r>
    </w:p>
    <w:p w:rsidR="00366FAF" w:rsidRDefault="00366FAF" w:rsidP="00366FAF">
      <w:pPr>
        <w:ind w:left="-3" w:right="112"/>
      </w:pPr>
      <w:proofErr w:type="spellStart"/>
      <w:r>
        <w:t>Code</w:t>
      </w:r>
      <w:proofErr w:type="spellEnd"/>
      <w:r>
        <w:t xml:space="preserve">: MK5TEL6S3TX17-EN </w:t>
      </w:r>
    </w:p>
    <w:p w:rsidR="00366FAF" w:rsidRDefault="00366FAF" w:rsidP="00366FAF">
      <w:pPr>
        <w:ind w:left="-3" w:right="112"/>
      </w:pPr>
      <w:r>
        <w:t xml:space="preserve">ECTS Credit </w:t>
      </w:r>
      <w:proofErr w:type="spellStart"/>
      <w:r>
        <w:t>Points</w:t>
      </w:r>
      <w:proofErr w:type="spellEnd"/>
      <w:r>
        <w:t xml:space="preserve">: 3 </w:t>
      </w:r>
    </w:p>
    <w:p w:rsidR="00366FAF" w:rsidRDefault="00366FAF" w:rsidP="00366FAF">
      <w:pPr>
        <w:ind w:left="-3" w:right="112"/>
      </w:pPr>
      <w:proofErr w:type="spellStart"/>
      <w:r>
        <w:t>Evaluation</w:t>
      </w:r>
      <w:proofErr w:type="spellEnd"/>
      <w:r>
        <w:t xml:space="preserve">: </w:t>
      </w:r>
      <w:proofErr w:type="spellStart"/>
      <w:r>
        <w:t>exam</w:t>
      </w:r>
      <w:proofErr w:type="spellEnd"/>
      <w:r>
        <w:t xml:space="preserve"> </w:t>
      </w:r>
    </w:p>
    <w:p w:rsidR="00366FAF" w:rsidRDefault="00366FAF" w:rsidP="00366FAF">
      <w:pPr>
        <w:spacing w:after="74"/>
        <w:ind w:left="-3" w:right="112"/>
      </w:pPr>
      <w:r>
        <w:t xml:space="preserve">Year, </w:t>
      </w:r>
      <w:proofErr w:type="spellStart"/>
      <w:r>
        <w:t>Semester</w:t>
      </w:r>
      <w:proofErr w:type="spellEnd"/>
      <w:r>
        <w:t>: 2</w:t>
      </w:r>
      <w:r>
        <w:rPr>
          <w:vertAlign w:val="superscript"/>
        </w:rPr>
        <w:t>nd</w:t>
      </w:r>
      <w:r>
        <w:t xml:space="preserve"> </w:t>
      </w:r>
      <w:proofErr w:type="spellStart"/>
      <w:r>
        <w:t>year</w:t>
      </w:r>
      <w:proofErr w:type="spellEnd"/>
      <w:r>
        <w:t>, 1</w:t>
      </w:r>
      <w:r>
        <w:rPr>
          <w:vertAlign w:val="superscript"/>
        </w:rPr>
        <w:t>st</w:t>
      </w:r>
      <w:r>
        <w:t xml:space="preserve"> </w:t>
      </w:r>
      <w:proofErr w:type="spellStart"/>
      <w:r>
        <w:t>semester</w:t>
      </w:r>
      <w:proofErr w:type="spellEnd"/>
      <w:r>
        <w:t xml:space="preserve"> </w:t>
      </w:r>
    </w:p>
    <w:p w:rsidR="00366FAF" w:rsidRDefault="00366FAF" w:rsidP="00366FAF">
      <w:pPr>
        <w:ind w:left="-3" w:right="112"/>
      </w:pP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prerequisite</w:t>
      </w:r>
      <w:proofErr w:type="spellEnd"/>
      <w:r>
        <w:t>(</w:t>
      </w:r>
      <w:proofErr w:type="gramEnd"/>
      <w:r>
        <w:t xml:space="preserve">s): - </w:t>
      </w:r>
    </w:p>
    <w:p w:rsidR="00366FAF" w:rsidRDefault="00366FAF" w:rsidP="00366FAF">
      <w:pPr>
        <w:ind w:left="-3" w:right="112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it: No </w:t>
      </w:r>
    </w:p>
    <w:p w:rsidR="00366FAF" w:rsidRDefault="00366FAF" w:rsidP="00366FAF">
      <w:pPr>
        <w:ind w:left="-3" w:right="112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practice</w:t>
      </w:r>
      <w:proofErr w:type="spellEnd"/>
      <w:r>
        <w:t>)</w:t>
      </w:r>
      <w:proofErr w:type="gramStart"/>
      <w:r>
        <w:t>:  2</w:t>
      </w:r>
      <w:proofErr w:type="gramEnd"/>
      <w:r>
        <w:t xml:space="preserve"> + 0 </w:t>
      </w:r>
    </w:p>
    <w:p w:rsidR="00366FAF" w:rsidRDefault="00366FAF" w:rsidP="00366FAF">
      <w:pPr>
        <w:spacing w:after="42" w:line="259" w:lineRule="auto"/>
        <w:ind w:left="2" w:firstLine="0"/>
        <w:jc w:val="left"/>
      </w:pPr>
      <w:r>
        <w:t xml:space="preserve"> </w:t>
      </w:r>
    </w:p>
    <w:p w:rsidR="00366FAF" w:rsidRDefault="00366FAF" w:rsidP="00366FAF">
      <w:pPr>
        <w:ind w:left="-3" w:right="112"/>
      </w:pPr>
      <w:proofErr w:type="spellStart"/>
      <w:r>
        <w:t>Topics</w:t>
      </w:r>
      <w:proofErr w:type="spellEnd"/>
      <w:r>
        <w:t xml:space="preserve">:  </w:t>
      </w:r>
    </w:p>
    <w:p w:rsidR="00366FAF" w:rsidRDefault="00366FAF" w:rsidP="00366FAF">
      <w:pPr>
        <w:ind w:left="-3" w:right="112"/>
      </w:pPr>
      <w:proofErr w:type="spellStart"/>
      <w:r>
        <w:t>Definition</w:t>
      </w:r>
      <w:proofErr w:type="spellEnd"/>
      <w:r>
        <w:t xml:space="preserve"> and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monuments</w:t>
      </w:r>
      <w:proofErr w:type="spellEnd"/>
      <w:r>
        <w:t xml:space="preserve">. </w:t>
      </w:r>
      <w:proofErr w:type="spellStart"/>
      <w:r>
        <w:t>Evolution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historic</w:t>
      </w:r>
      <w:proofErr w:type="spellEnd"/>
      <w:r>
        <w:t xml:space="preserve"> building </w:t>
      </w:r>
      <w:proofErr w:type="spellStart"/>
      <w:r>
        <w:t>protection</w:t>
      </w:r>
      <w:proofErr w:type="spellEnd"/>
      <w:r>
        <w:t xml:space="preserve">. The </w:t>
      </w:r>
      <w:proofErr w:type="spellStart"/>
      <w:r>
        <w:t>Athens</w:t>
      </w:r>
      <w:proofErr w:type="spellEnd"/>
      <w:r>
        <w:t xml:space="preserve"> Charter (1933),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Venice</w:t>
      </w:r>
      <w:proofErr w:type="spellEnd"/>
      <w:r>
        <w:t xml:space="preserve"> Charter (1964), </w:t>
      </w:r>
      <w:proofErr w:type="spellStart"/>
      <w:r>
        <w:t>the</w:t>
      </w:r>
      <w:proofErr w:type="spellEnd"/>
      <w:r>
        <w:t xml:space="preserve"> Washington Charter (1987), </w:t>
      </w:r>
      <w:proofErr w:type="spellStart"/>
      <w:r>
        <w:t>the</w:t>
      </w:r>
      <w:proofErr w:type="spellEnd"/>
      <w:r>
        <w:t xml:space="preserve"> Valletta </w:t>
      </w:r>
      <w:proofErr w:type="spellStart"/>
      <w:r>
        <w:t>Principles</w:t>
      </w:r>
      <w:proofErr w:type="spellEnd"/>
      <w:r>
        <w:t xml:space="preserve"> (2011).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ageing</w:t>
      </w:r>
      <w:proofErr w:type="spellEnd"/>
      <w:r>
        <w:t xml:space="preserve"> and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ageing</w:t>
      </w:r>
      <w:proofErr w:type="spellEnd"/>
      <w:r>
        <w:t xml:space="preserve">. </w:t>
      </w:r>
      <w:proofErr w:type="spellStart"/>
      <w:r>
        <w:t>Urbanization</w:t>
      </w:r>
      <w:proofErr w:type="spellEnd"/>
      <w:r>
        <w:t xml:space="preserve"> </w:t>
      </w:r>
      <w:proofErr w:type="spellStart"/>
      <w:r>
        <w:t>ageing</w:t>
      </w:r>
      <w:proofErr w:type="spellEnd"/>
      <w:r>
        <w:t xml:space="preserve"> – </w:t>
      </w:r>
      <w:proofErr w:type="spellStart"/>
      <w:r>
        <w:t>necessity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pretence</w:t>
      </w:r>
      <w:proofErr w:type="spellEnd"/>
      <w:r>
        <w:t xml:space="preserve">? </w:t>
      </w:r>
      <w:proofErr w:type="spellStart"/>
      <w:r>
        <w:t>Renewal</w:t>
      </w:r>
      <w:proofErr w:type="spellEnd"/>
      <w:r>
        <w:t xml:space="preserve"> of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Hungary (Eger, Pécs, Székesfehérvár, Budapest, Debrecen, etc.) and </w:t>
      </w:r>
      <w:proofErr w:type="spellStart"/>
      <w:r>
        <w:t>other</w:t>
      </w:r>
      <w:proofErr w:type="spellEnd"/>
      <w:r>
        <w:t xml:space="preserve"> European </w:t>
      </w:r>
      <w:proofErr w:type="spellStart"/>
      <w:r>
        <w:t>countries</w:t>
      </w:r>
      <w:proofErr w:type="spellEnd"/>
      <w:r>
        <w:t xml:space="preserve"> (</w:t>
      </w:r>
      <w:proofErr w:type="spellStart"/>
      <w:r>
        <w:t>Warsaw</w:t>
      </w:r>
      <w:proofErr w:type="spellEnd"/>
      <w:r>
        <w:t xml:space="preserve">, Southampton, Edinburgh, </w:t>
      </w:r>
      <w:proofErr w:type="spellStart"/>
      <w:r>
        <w:t>Greifswald</w:t>
      </w:r>
      <w:proofErr w:type="spellEnd"/>
      <w:r>
        <w:t xml:space="preserve">, Gdansk, etc.) </w:t>
      </w:r>
      <w:proofErr w:type="spellStart"/>
      <w:r>
        <w:t>Tourism</w:t>
      </w:r>
      <w:proofErr w:type="spellEnd"/>
      <w:r>
        <w:t xml:space="preserve"> and </w:t>
      </w:r>
      <w:proofErr w:type="spellStart"/>
      <w:r>
        <w:t>protection</w:t>
      </w:r>
      <w:proofErr w:type="spellEnd"/>
      <w:r>
        <w:t xml:space="preserve"> in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. </w:t>
      </w:r>
    </w:p>
    <w:p w:rsidR="00366FAF" w:rsidRDefault="00366FAF" w:rsidP="00366FAF">
      <w:pPr>
        <w:spacing w:after="42" w:line="259" w:lineRule="auto"/>
        <w:ind w:left="2" w:firstLine="0"/>
        <w:jc w:val="left"/>
      </w:pPr>
      <w:r>
        <w:t xml:space="preserve"> </w:t>
      </w:r>
    </w:p>
    <w:p w:rsidR="00366FAF" w:rsidRDefault="00366FAF" w:rsidP="00366FAF">
      <w:pPr>
        <w:ind w:left="-3" w:right="112"/>
      </w:pPr>
      <w:proofErr w:type="spellStart"/>
      <w:r>
        <w:t>Literature</w:t>
      </w:r>
      <w:proofErr w:type="spellEnd"/>
      <w:r>
        <w:t xml:space="preserve">: </w:t>
      </w:r>
    </w:p>
    <w:p w:rsidR="00366FAF" w:rsidRDefault="00366FAF" w:rsidP="00366FAF">
      <w:pPr>
        <w:spacing w:after="89"/>
        <w:ind w:left="-3" w:right="112"/>
      </w:pPr>
      <w:proofErr w:type="spellStart"/>
      <w:r>
        <w:t>Required</w:t>
      </w:r>
      <w:proofErr w:type="spellEnd"/>
      <w:r>
        <w:t xml:space="preserve">: </w:t>
      </w:r>
    </w:p>
    <w:p w:rsidR="00366FAF" w:rsidRDefault="00366FAF" w:rsidP="00366FAF">
      <w:pPr>
        <w:numPr>
          <w:ilvl w:val="0"/>
          <w:numId w:val="1"/>
        </w:numPr>
        <w:spacing w:after="93"/>
        <w:ind w:right="112" w:hanging="360"/>
      </w:pPr>
      <w:proofErr w:type="spellStart"/>
      <w:r>
        <w:t>Architectural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–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Dublin, ISBN 0-7557-7006-4 </w:t>
      </w:r>
    </w:p>
    <w:p w:rsidR="00366FAF" w:rsidRDefault="00366FAF" w:rsidP="00366FAF">
      <w:pPr>
        <w:numPr>
          <w:ilvl w:val="0"/>
          <w:numId w:val="1"/>
        </w:numPr>
        <w:spacing w:after="72" w:line="271" w:lineRule="auto"/>
        <w:ind w:right="112" w:hanging="360"/>
      </w:pPr>
      <w:r>
        <w:t xml:space="preserve">The Valletta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and Management of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, </w:t>
      </w:r>
      <w:proofErr w:type="spellStart"/>
      <w:r>
        <w:t>Towns</w:t>
      </w:r>
      <w:proofErr w:type="spellEnd"/>
      <w:r>
        <w:t xml:space="preserve"> and Urban </w:t>
      </w:r>
      <w:proofErr w:type="spellStart"/>
      <w:r>
        <w:t>Areas</w:t>
      </w:r>
      <w:proofErr w:type="spellEnd"/>
      <w:r>
        <w:t xml:space="preserve">. ISBN 978-960-93-4331-2 </w:t>
      </w:r>
      <w:proofErr w:type="spellStart"/>
      <w:r>
        <w:t>Recommended</w:t>
      </w:r>
      <w:proofErr w:type="spellEnd"/>
      <w:r>
        <w:t xml:space="preserve">: </w:t>
      </w:r>
    </w:p>
    <w:p w:rsidR="00366FAF" w:rsidRDefault="00366FAF" w:rsidP="00366FAF">
      <w:pPr>
        <w:numPr>
          <w:ilvl w:val="0"/>
          <w:numId w:val="1"/>
        </w:numPr>
        <w:spacing w:after="93"/>
        <w:ind w:right="112" w:hanging="360"/>
      </w:pPr>
      <w:proofErr w:type="spellStart"/>
      <w:r>
        <w:t>Ashworth</w:t>
      </w:r>
      <w:proofErr w:type="spellEnd"/>
      <w:r>
        <w:t>, G</w:t>
      </w:r>
      <w:proofErr w:type="gramStart"/>
      <w:r>
        <w:t>.J</w:t>
      </w:r>
      <w:proofErr w:type="gramEnd"/>
      <w:r>
        <w:t xml:space="preserve">. – </w:t>
      </w:r>
      <w:proofErr w:type="spellStart"/>
      <w:r>
        <w:t>Tunbridge</w:t>
      </w:r>
      <w:proofErr w:type="spellEnd"/>
      <w:r>
        <w:t>, J</w:t>
      </w:r>
      <w:proofErr w:type="gramStart"/>
      <w:r>
        <w:t>.E</w:t>
      </w:r>
      <w:proofErr w:type="gramEnd"/>
      <w:r>
        <w:t xml:space="preserve">.: The </w:t>
      </w:r>
      <w:proofErr w:type="spellStart"/>
      <w:r>
        <w:t>Tourist-Historic</w:t>
      </w:r>
      <w:proofErr w:type="spellEnd"/>
      <w:r>
        <w:t xml:space="preserve"> City. </w:t>
      </w:r>
      <w:proofErr w:type="spellStart"/>
      <w:r>
        <w:t>Routledge</w:t>
      </w:r>
      <w:proofErr w:type="spellEnd"/>
      <w:r>
        <w:t xml:space="preserve">, 1990, ISBN 978-008-04-3675-3 </w:t>
      </w:r>
    </w:p>
    <w:p w:rsidR="00366FAF" w:rsidRDefault="00366FAF" w:rsidP="00366FAF">
      <w:pPr>
        <w:numPr>
          <w:ilvl w:val="0"/>
          <w:numId w:val="1"/>
        </w:numPr>
        <w:spacing w:after="0"/>
        <w:ind w:right="112" w:hanging="360"/>
      </w:pPr>
      <w:r>
        <w:t>Jankó, F</w:t>
      </w:r>
      <w:proofErr w:type="gramStart"/>
      <w:r>
        <w:t>.:</w:t>
      </w:r>
      <w:proofErr w:type="gramEnd"/>
      <w:r>
        <w:t xml:space="preserve"> Urban </w:t>
      </w:r>
      <w:proofErr w:type="spellStart"/>
      <w:r>
        <w:t>Renewal</w:t>
      </w:r>
      <w:proofErr w:type="spellEnd"/>
      <w:r>
        <w:t xml:space="preserve"> of </w:t>
      </w:r>
      <w:proofErr w:type="spellStart"/>
      <w:r>
        <w:t>Historiv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in Hungary: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Prospects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in European Context. In Csapó, T. – Balogh, </w:t>
      </w:r>
      <w:proofErr w:type="gramStart"/>
      <w:r>
        <w:t>A</w:t>
      </w:r>
      <w:proofErr w:type="gramEnd"/>
      <w:r>
        <w:t>. (</w:t>
      </w:r>
      <w:proofErr w:type="spellStart"/>
      <w:r>
        <w:t>eds</w:t>
      </w:r>
      <w:proofErr w:type="spellEnd"/>
      <w:r>
        <w:t xml:space="preserve">): </w:t>
      </w:r>
      <w:proofErr w:type="spellStart"/>
      <w:r>
        <w:t>Development</w:t>
      </w:r>
      <w:proofErr w:type="spellEnd"/>
      <w:r>
        <w:t xml:space="preserve"> of </w:t>
      </w:r>
    </w:p>
    <w:p w:rsidR="00366FAF" w:rsidRDefault="00366FAF" w:rsidP="00366FAF">
      <w:pPr>
        <w:spacing w:after="93"/>
        <w:ind w:left="579" w:right="112"/>
      </w:pPr>
      <w:proofErr w:type="spellStart"/>
      <w:r>
        <w:t>Settlement</w:t>
      </w:r>
      <w:proofErr w:type="spellEnd"/>
      <w:r>
        <w:t xml:space="preserve"> Network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European </w:t>
      </w:r>
      <w:proofErr w:type="spellStart"/>
      <w:r>
        <w:t>Countries</w:t>
      </w:r>
      <w:proofErr w:type="spellEnd"/>
      <w:r>
        <w:t>. Springer –</w:t>
      </w:r>
      <w:proofErr w:type="spellStart"/>
      <w:r>
        <w:t>Verlag</w:t>
      </w:r>
      <w:proofErr w:type="spellEnd"/>
      <w:r>
        <w:t xml:space="preserve">, 2012, pp. 161-174. ISBN 978-3-642-20313-8 </w:t>
      </w:r>
    </w:p>
    <w:p w:rsidR="00366FAF" w:rsidRDefault="00366FAF" w:rsidP="00366FAF">
      <w:pPr>
        <w:numPr>
          <w:ilvl w:val="0"/>
          <w:numId w:val="1"/>
        </w:numPr>
        <w:ind w:right="112" w:hanging="360"/>
      </w:pPr>
      <w:r>
        <w:t>Hardy, M. (</w:t>
      </w:r>
      <w:proofErr w:type="spellStart"/>
      <w:r>
        <w:t>ed</w:t>
      </w:r>
      <w:proofErr w:type="spellEnd"/>
      <w:r>
        <w:t xml:space="preserve">): The </w:t>
      </w:r>
      <w:proofErr w:type="spellStart"/>
      <w:r>
        <w:t>Venice</w:t>
      </w:r>
      <w:proofErr w:type="spellEnd"/>
      <w:r>
        <w:t xml:space="preserve"> Charter </w:t>
      </w:r>
      <w:proofErr w:type="spellStart"/>
      <w:r>
        <w:t>Revisited</w:t>
      </w:r>
      <w:proofErr w:type="spellEnd"/>
      <w:r>
        <w:t xml:space="preserve">: </w:t>
      </w:r>
      <w:proofErr w:type="spellStart"/>
      <w:r>
        <w:t>Modernism</w:t>
      </w:r>
      <w:proofErr w:type="spellEnd"/>
      <w:r>
        <w:t xml:space="preserve">, </w:t>
      </w:r>
      <w:proofErr w:type="spellStart"/>
      <w:r>
        <w:t>Conservation</w:t>
      </w:r>
      <w:proofErr w:type="spellEnd"/>
      <w:r>
        <w:t xml:space="preserve"> and </w:t>
      </w:r>
      <w:proofErr w:type="spellStart"/>
      <w:r>
        <w:t>Tradition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21</w:t>
      </w:r>
      <w:r>
        <w:rPr>
          <w:vertAlign w:val="superscript"/>
        </w:rPr>
        <w:t>st</w:t>
      </w:r>
      <w:r>
        <w:t xml:space="preserve"> </w:t>
      </w:r>
      <w:proofErr w:type="spellStart"/>
      <w:r>
        <w:t>Century</w:t>
      </w:r>
      <w:proofErr w:type="spellEnd"/>
      <w:r>
        <w:t xml:space="preserve">. Cambridge </w:t>
      </w:r>
      <w:proofErr w:type="spellStart"/>
      <w:r>
        <w:t>Scholars</w:t>
      </w:r>
      <w:proofErr w:type="spellEnd"/>
      <w:r>
        <w:t xml:space="preserve"> Publishing, 2008. ISBN 978-18471-8688-1 </w:t>
      </w:r>
    </w:p>
    <w:p w:rsidR="00366FAF" w:rsidRDefault="00366FAF" w:rsidP="00366FAF">
      <w:pPr>
        <w:spacing w:after="42" w:line="259" w:lineRule="auto"/>
        <w:ind w:left="2" w:firstLine="0"/>
        <w:jc w:val="left"/>
      </w:pPr>
      <w:r>
        <w:t xml:space="preserve"> </w:t>
      </w:r>
    </w:p>
    <w:p w:rsidR="00366FAF" w:rsidRDefault="00366FAF" w:rsidP="00366FAF">
      <w:pPr>
        <w:spacing w:after="7"/>
        <w:ind w:left="-3" w:right="112"/>
      </w:pPr>
      <w:r>
        <w:t xml:space="preserve">Schedule </w:t>
      </w:r>
    </w:p>
    <w:tbl>
      <w:tblPr>
        <w:tblStyle w:val="TableGrid"/>
        <w:tblW w:w="7372" w:type="dxa"/>
        <w:tblInd w:w="2" w:type="dxa"/>
        <w:tblCellMar>
          <w:top w:w="40" w:type="dxa"/>
          <w:left w:w="108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3685"/>
      </w:tblGrid>
      <w:tr w:rsidR="00366FAF" w:rsidTr="001D16E5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66FAF" w:rsidRDefault="00366FAF" w:rsidP="001D16E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66FAF" w:rsidRDefault="00366FAF" w:rsidP="001D16E5">
            <w:pPr>
              <w:spacing w:after="160" w:line="259" w:lineRule="auto"/>
              <w:ind w:left="0" w:firstLine="0"/>
              <w:jc w:val="left"/>
            </w:pPr>
          </w:p>
        </w:tc>
      </w:tr>
      <w:tr w:rsidR="00366FAF" w:rsidTr="001D16E5">
        <w:trPr>
          <w:trHeight w:val="141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6FAF" w:rsidRDefault="00366FAF" w:rsidP="001D16E5">
            <w:pPr>
              <w:spacing w:after="70" w:line="259" w:lineRule="auto"/>
              <w:ind w:lef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366FAF" w:rsidRDefault="00366FAF" w:rsidP="001D16E5">
            <w:pPr>
              <w:spacing w:after="1" w:line="240" w:lineRule="auto"/>
              <w:ind w:left="0" w:right="98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Evolution</w:t>
            </w:r>
            <w:proofErr w:type="spellEnd"/>
            <w:r>
              <w:t xml:space="preserve"> and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of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.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Athens</w:t>
            </w:r>
            <w:proofErr w:type="spellEnd"/>
            <w:r>
              <w:t xml:space="preserve"> Charter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Valletta </w:t>
            </w:r>
          </w:p>
          <w:p w:rsidR="00366FAF" w:rsidRDefault="00366FAF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Principles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FAF" w:rsidRDefault="00366FAF" w:rsidP="001D16E5">
            <w:pPr>
              <w:spacing w:after="68" w:line="259" w:lineRule="auto"/>
              <w:ind w:left="0" w:firstLine="0"/>
              <w:jc w:val="lef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366FAF" w:rsidRDefault="00366FAF" w:rsidP="001D16E5">
            <w:pPr>
              <w:spacing w:after="0" w:line="259" w:lineRule="auto"/>
              <w:ind w:left="0" w:right="96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Physical</w:t>
            </w:r>
            <w:proofErr w:type="spellEnd"/>
            <w:r>
              <w:t xml:space="preserve">, </w:t>
            </w:r>
            <w:proofErr w:type="spellStart"/>
            <w:r>
              <w:t>functional</w:t>
            </w:r>
            <w:proofErr w:type="spellEnd"/>
            <w:r>
              <w:t xml:space="preserve"> and </w:t>
            </w:r>
            <w:proofErr w:type="spellStart"/>
            <w:r>
              <w:t>urbanization</w:t>
            </w:r>
            <w:proofErr w:type="spellEnd"/>
            <w:r>
              <w:t xml:space="preserve"> </w:t>
            </w:r>
            <w:proofErr w:type="spellStart"/>
            <w:r>
              <w:t>ageing</w:t>
            </w:r>
            <w:proofErr w:type="spellEnd"/>
            <w:r>
              <w:t xml:space="preserve">;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role</w:t>
            </w:r>
            <w:proofErr w:type="spellEnd"/>
            <w:r>
              <w:t xml:space="preserve"> and </w:t>
            </w:r>
            <w:proofErr w:type="spellStart"/>
            <w:r>
              <w:t>importance</w:t>
            </w:r>
            <w:proofErr w:type="spellEnd"/>
            <w:r>
              <w:t xml:space="preserve"> in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and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.  </w:t>
            </w:r>
          </w:p>
        </w:tc>
      </w:tr>
      <w:tr w:rsidR="00366FAF" w:rsidTr="001D16E5">
        <w:trPr>
          <w:trHeight w:val="912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6FAF" w:rsidRDefault="00366FAF" w:rsidP="001D16E5">
            <w:pPr>
              <w:spacing w:after="79" w:line="259" w:lineRule="auto"/>
              <w:ind w:left="0" w:firstLine="0"/>
              <w:jc w:val="lef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366FAF" w:rsidRDefault="00366FAF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r>
              <w:tab/>
              <w:t xml:space="preserve">and </w:t>
            </w:r>
            <w:r>
              <w:tab/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factors</w:t>
            </w:r>
            <w:proofErr w:type="spellEnd"/>
            <w:r>
              <w:t xml:space="preserve"> </w:t>
            </w:r>
            <w:proofErr w:type="spellStart"/>
            <w:r>
              <w:t>threatening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FAF" w:rsidRDefault="00366FAF" w:rsidP="001D16E5">
            <w:pPr>
              <w:spacing w:after="65" w:line="259" w:lineRule="auto"/>
              <w:ind w:left="0" w:firstLine="0"/>
              <w:jc w:val="lef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366FAF" w:rsidRDefault="00366FAF" w:rsidP="001D16E5">
            <w:pPr>
              <w:spacing w:after="0" w:line="259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castles</w:t>
            </w:r>
            <w:proofErr w:type="spellEnd"/>
            <w:r>
              <w:t xml:space="preserve">, </w:t>
            </w:r>
            <w:proofErr w:type="spellStart"/>
            <w:r>
              <w:t>towns-walls</w:t>
            </w:r>
            <w:proofErr w:type="spellEnd"/>
            <w:r>
              <w:t xml:space="preserve">, </w:t>
            </w:r>
            <w:proofErr w:type="spellStart"/>
            <w:r>
              <w:t>fortresses</w:t>
            </w:r>
            <w:proofErr w:type="spellEnd"/>
            <w:r>
              <w:t xml:space="preserve">.  </w:t>
            </w:r>
          </w:p>
        </w:tc>
      </w:tr>
      <w:tr w:rsidR="00366FAF" w:rsidTr="001D16E5">
        <w:trPr>
          <w:trHeight w:val="1632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6FAF" w:rsidRDefault="00366FAF" w:rsidP="001D16E5">
            <w:pPr>
              <w:spacing w:after="67" w:line="259" w:lineRule="auto"/>
              <w:ind w:left="0" w:firstLine="0"/>
              <w:jc w:val="left"/>
            </w:pPr>
            <w:r>
              <w:lastRenderedPageBreak/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</w:t>
            </w:r>
          </w:p>
          <w:p w:rsidR="00366FAF" w:rsidRDefault="00366FAF" w:rsidP="001D16E5">
            <w:pPr>
              <w:spacing w:after="0" w:line="259" w:lineRule="auto"/>
              <w:ind w:left="0" w:right="98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tenements</w:t>
            </w:r>
            <w:proofErr w:type="spellEnd"/>
            <w:r>
              <w:t xml:space="preserve"> </w:t>
            </w:r>
            <w:proofErr w:type="spellStart"/>
            <w:r>
              <w:t>houses</w:t>
            </w:r>
            <w:proofErr w:type="spellEnd"/>
            <w:r>
              <w:t xml:space="preserve"> and </w:t>
            </w:r>
            <w:proofErr w:type="spellStart"/>
            <w:r>
              <w:t>public</w:t>
            </w:r>
            <w:proofErr w:type="spellEnd"/>
            <w:r>
              <w:t xml:space="preserve"> buildings. </w:t>
            </w:r>
            <w:proofErr w:type="spellStart"/>
            <w:r>
              <w:t>Churches</w:t>
            </w:r>
            <w:proofErr w:type="spellEnd"/>
            <w:r>
              <w:t xml:space="preserve">, </w:t>
            </w:r>
            <w:proofErr w:type="spellStart"/>
            <w:r>
              <w:t>monasteries</w:t>
            </w:r>
            <w:proofErr w:type="spellEnd"/>
            <w:r>
              <w:t xml:space="preserve">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parochial</w:t>
            </w:r>
            <w:proofErr w:type="spellEnd"/>
            <w:r>
              <w:t xml:space="preserve"> buildings. </w:t>
            </w:r>
            <w:proofErr w:type="spellStart"/>
            <w:r>
              <w:t>Synagogues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of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FAF" w:rsidRDefault="00366FAF" w:rsidP="001D16E5">
            <w:pPr>
              <w:spacing w:after="66" w:line="259" w:lineRule="auto"/>
              <w:ind w:left="0" w:firstLine="0"/>
              <w:jc w:val="left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366FAF" w:rsidRDefault="00366FAF" w:rsidP="001D16E5">
            <w:pPr>
              <w:spacing w:after="0" w:line="259" w:lineRule="auto"/>
              <w:ind w:left="0" w:right="97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residences</w:t>
            </w:r>
            <w:proofErr w:type="spellEnd"/>
            <w:r>
              <w:t xml:space="preserve"> and </w:t>
            </w:r>
            <w:proofErr w:type="spellStart"/>
            <w:r>
              <w:t>mansions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of </w:t>
            </w:r>
            <w:proofErr w:type="spellStart"/>
            <w:r>
              <w:t>historic</w:t>
            </w:r>
            <w:proofErr w:type="spellEnd"/>
            <w:r>
              <w:t xml:space="preserve"> buildings. </w:t>
            </w: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countryside</w:t>
            </w:r>
            <w:proofErr w:type="spellEnd"/>
            <w:r>
              <w:t xml:space="preserve"> buildings.  </w:t>
            </w:r>
          </w:p>
        </w:tc>
      </w:tr>
      <w:tr w:rsidR="00366FAF" w:rsidTr="001D16E5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366FAF" w:rsidRDefault="00366FAF" w:rsidP="001D16E5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366FAF" w:rsidRDefault="00366FAF" w:rsidP="001D1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66FAF" w:rsidTr="001D16E5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6FAF" w:rsidRDefault="00366FAF" w:rsidP="001D16E5">
            <w:pPr>
              <w:spacing w:after="0" w:line="259" w:lineRule="auto"/>
              <w:ind w:left="0" w:firstLine="0"/>
              <w:jc w:val="left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FAF" w:rsidRDefault="00366FAF" w:rsidP="001D16E5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</w:tc>
      </w:tr>
      <w:tr w:rsidR="00366FAF" w:rsidTr="001D16E5">
        <w:trPr>
          <w:trHeight w:val="80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6FAF" w:rsidRDefault="00366FAF" w:rsidP="001D16E5">
            <w:pPr>
              <w:spacing w:after="0" w:line="259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Ruins</w:t>
            </w:r>
            <w:proofErr w:type="spellEnd"/>
            <w:r>
              <w:t xml:space="preserve">. </w:t>
            </w:r>
            <w:proofErr w:type="spellStart"/>
            <w:r>
              <w:t>Conservation</w:t>
            </w:r>
            <w:proofErr w:type="spellEnd"/>
            <w:r>
              <w:t xml:space="preserve">, </w:t>
            </w:r>
            <w:proofErr w:type="spellStart"/>
            <w:r>
              <w:t>renovation</w:t>
            </w:r>
            <w:proofErr w:type="spellEnd"/>
            <w:r>
              <w:t xml:space="preserve">, </w:t>
            </w:r>
            <w:proofErr w:type="spellStart"/>
            <w:r>
              <w:t>addition</w:t>
            </w:r>
            <w:proofErr w:type="spellEnd"/>
            <w:r>
              <w:t xml:space="preserve">, </w:t>
            </w:r>
            <w:proofErr w:type="spellStart"/>
            <w:r>
              <w:t>reconstruction</w:t>
            </w:r>
            <w:proofErr w:type="spellEnd"/>
            <w:r>
              <w:t xml:space="preserve">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FAF" w:rsidRDefault="00366FAF" w:rsidP="001D16E5">
            <w:pPr>
              <w:spacing w:after="0" w:line="259" w:lineRule="auto"/>
              <w:ind w:left="2" w:right="46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.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objects</w:t>
            </w:r>
            <w:proofErr w:type="spellEnd"/>
            <w:r>
              <w:t xml:space="preserve">: </w:t>
            </w:r>
            <w:proofErr w:type="spellStart"/>
            <w:r>
              <w:t>statues</w:t>
            </w:r>
            <w:proofErr w:type="spellEnd"/>
            <w:r>
              <w:t xml:space="preserve">,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facilities</w:t>
            </w:r>
            <w:proofErr w:type="spellEnd"/>
            <w:r>
              <w:t xml:space="preserve">, </w:t>
            </w:r>
            <w:proofErr w:type="spellStart"/>
            <w:r>
              <w:t>graveyards</w:t>
            </w:r>
            <w:proofErr w:type="spellEnd"/>
            <w:r>
              <w:t xml:space="preserve">, </w:t>
            </w:r>
            <w:proofErr w:type="spellStart"/>
            <w:r>
              <w:t>parks</w:t>
            </w:r>
            <w:proofErr w:type="spellEnd"/>
            <w:r>
              <w:t xml:space="preserve">, etc.  </w:t>
            </w:r>
          </w:p>
        </w:tc>
      </w:tr>
      <w:tr w:rsidR="00366FAF" w:rsidTr="001D16E5">
        <w:trPr>
          <w:trHeight w:val="1157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6FAF" w:rsidRDefault="00366FAF" w:rsidP="001D16E5">
            <w:pPr>
              <w:spacing w:after="64" w:line="259" w:lineRule="auto"/>
              <w:ind w:left="0" w:firstLine="0"/>
              <w:jc w:val="left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366FAF" w:rsidRDefault="00366FAF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UNESCO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Sites. World </w:t>
            </w:r>
            <w:proofErr w:type="spellStart"/>
            <w:r>
              <w:t>Heritage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in Hungary. </w:t>
            </w:r>
            <w:proofErr w:type="spellStart"/>
            <w:r>
              <w:t>Protected</w:t>
            </w:r>
            <w:proofErr w:type="spellEnd"/>
            <w:r>
              <w:t xml:space="preserve"> </w:t>
            </w:r>
            <w:proofErr w:type="spellStart"/>
            <w:r>
              <w:t>historic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in Hungary.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FAF" w:rsidRDefault="00366FAF" w:rsidP="001D16E5">
            <w:pPr>
              <w:spacing w:after="64" w:line="259" w:lineRule="auto"/>
              <w:ind w:left="2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366FAF" w:rsidRDefault="00366FAF" w:rsidP="001D16E5">
            <w:pPr>
              <w:spacing w:after="0" w:line="259" w:lineRule="auto"/>
              <w:ind w:left="2" w:right="47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Historic</w:t>
            </w:r>
            <w:proofErr w:type="spellEnd"/>
            <w:r>
              <w:t xml:space="preserve"> </w:t>
            </w:r>
            <w:proofErr w:type="spellStart"/>
            <w:r>
              <w:t>cities</w:t>
            </w:r>
            <w:proofErr w:type="spellEnd"/>
            <w:r>
              <w:t xml:space="preserve"> and </w:t>
            </w:r>
            <w:proofErr w:type="spellStart"/>
            <w:r>
              <w:t>towns</w:t>
            </w:r>
            <w:proofErr w:type="spellEnd"/>
            <w:r>
              <w:t xml:space="preserve">. </w:t>
            </w:r>
            <w:proofErr w:type="spellStart"/>
            <w:r>
              <w:t>Protection</w:t>
            </w:r>
            <w:proofErr w:type="spellEnd"/>
            <w:r>
              <w:t xml:space="preserve"> and </w:t>
            </w:r>
            <w:proofErr w:type="spellStart"/>
            <w:r>
              <w:t>renovation</w:t>
            </w:r>
            <w:proofErr w:type="spellEnd"/>
            <w:r>
              <w:t xml:space="preserve"> –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Hungary, Poland, UK and </w:t>
            </w:r>
            <w:proofErr w:type="spellStart"/>
            <w:r>
              <w:t>Germany</w:t>
            </w:r>
            <w:proofErr w:type="spellEnd"/>
            <w:r>
              <w:t xml:space="preserve">.  </w:t>
            </w:r>
          </w:p>
        </w:tc>
      </w:tr>
      <w:tr w:rsidR="00366FAF" w:rsidTr="001D16E5">
        <w:trPr>
          <w:trHeight w:val="899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6FAF" w:rsidRDefault="00366FAF" w:rsidP="001D16E5">
            <w:pPr>
              <w:spacing w:after="64" w:line="259" w:lineRule="auto"/>
              <w:ind w:left="0" w:firstLine="0"/>
              <w:jc w:val="left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366FAF" w:rsidRDefault="00366FAF" w:rsidP="001D16E5">
            <w:pPr>
              <w:spacing w:after="0" w:line="259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A </w:t>
            </w:r>
            <w:proofErr w:type="spellStart"/>
            <w:r>
              <w:t>historic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synthesis</w:t>
            </w:r>
            <w:proofErr w:type="spellEnd"/>
            <w:r>
              <w:t xml:space="preserve"> of </w:t>
            </w:r>
            <w:proofErr w:type="spellStart"/>
            <w:r>
              <w:t>living</w:t>
            </w:r>
            <w:proofErr w:type="spellEnd"/>
            <w:r>
              <w:t xml:space="preserve"> and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FAF" w:rsidRDefault="00366FAF" w:rsidP="001D16E5">
            <w:pPr>
              <w:spacing w:after="64" w:line="259" w:lineRule="auto"/>
              <w:ind w:left="2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366FAF" w:rsidRDefault="00366FAF" w:rsidP="001D16E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challenge</w:t>
            </w:r>
            <w:proofErr w:type="spellEnd"/>
            <w:r>
              <w:t xml:space="preserve">: </w:t>
            </w:r>
            <w:proofErr w:type="spellStart"/>
            <w:r>
              <w:t>tourism</w:t>
            </w:r>
            <w:proofErr w:type="spellEnd"/>
            <w:r>
              <w:t xml:space="preserve"> in </w:t>
            </w:r>
            <w:proofErr w:type="spellStart"/>
            <w:r>
              <w:t>historic</w:t>
            </w:r>
            <w:proofErr w:type="spellEnd"/>
            <w:r>
              <w:t xml:space="preserve"> sites.  </w:t>
            </w:r>
          </w:p>
        </w:tc>
      </w:tr>
      <w:tr w:rsidR="00366FAF" w:rsidTr="001D16E5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66FAF" w:rsidRDefault="00366FAF" w:rsidP="001D16E5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66FAF" w:rsidRDefault="00366FAF" w:rsidP="001D16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66FAF" w:rsidRDefault="00366FAF" w:rsidP="00366FAF">
      <w:pPr>
        <w:spacing w:after="40" w:line="259" w:lineRule="auto"/>
        <w:ind w:left="2" w:firstLine="0"/>
        <w:jc w:val="left"/>
      </w:pPr>
      <w:r>
        <w:t xml:space="preserve"> </w:t>
      </w:r>
    </w:p>
    <w:p w:rsidR="00366FAF" w:rsidRDefault="00366FAF" w:rsidP="00366FAF">
      <w:pPr>
        <w:ind w:left="-3" w:right="112"/>
      </w:pPr>
      <w:proofErr w:type="spellStart"/>
      <w:r>
        <w:t>Requirements</w:t>
      </w:r>
      <w:proofErr w:type="spellEnd"/>
      <w:r>
        <w:t xml:space="preserve"> </w:t>
      </w:r>
    </w:p>
    <w:p w:rsidR="00366FAF" w:rsidRDefault="00366FAF" w:rsidP="00366FAF">
      <w:pPr>
        <w:ind w:left="-3" w:right="112"/>
      </w:pPr>
      <w:r>
        <w:t xml:space="preserve">A,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: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11 of 14) </w:t>
      </w:r>
    </w:p>
    <w:p w:rsidR="0088617F" w:rsidRDefault="00366FAF" w:rsidP="00366FAF">
      <w:r>
        <w:t xml:space="preserve">B,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grade</w:t>
      </w:r>
      <w:proofErr w:type="spellEnd"/>
      <w:r>
        <w:t xml:space="preserve">: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an </w:t>
      </w:r>
      <w:proofErr w:type="spellStart"/>
      <w:r>
        <w:t>essay</w:t>
      </w:r>
      <w:bookmarkStart w:id="0" w:name="_GoBack"/>
      <w:bookmarkEnd w:id="0"/>
      <w:proofErr w:type="spellEnd"/>
    </w:p>
    <w:sectPr w:rsidR="008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D38"/>
    <w:multiLevelType w:val="hybridMultilevel"/>
    <w:tmpl w:val="DAC0B4EC"/>
    <w:lvl w:ilvl="0" w:tplc="70CA67AA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E3E76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0339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CDB38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69DEE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8611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7032C4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1E75D0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BC7BFC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AF"/>
    <w:rsid w:val="00366FAF"/>
    <w:rsid w:val="008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F399-C8A1-4124-8BA1-38224409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FAF"/>
    <w:pPr>
      <w:spacing w:after="49" w:line="251" w:lineRule="auto"/>
      <w:ind w:left="13" w:hanging="10"/>
      <w:jc w:val="both"/>
    </w:pPr>
    <w:rPr>
      <w:rFonts w:ascii="Calibri" w:eastAsia="Calibri" w:hAnsi="Calibri" w:cs="Calibri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366FAF"/>
    <w:pPr>
      <w:keepNext/>
      <w:keepLines/>
      <w:spacing w:after="29" w:line="249" w:lineRule="auto"/>
      <w:ind w:left="17" w:hanging="10"/>
      <w:outlineLvl w:val="0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6FAF"/>
    <w:rPr>
      <w:rFonts w:ascii="Calibri" w:eastAsia="Calibri" w:hAnsi="Calibri" w:cs="Calibri"/>
      <w:color w:val="000000"/>
      <w:lang w:eastAsia="hu-HU"/>
    </w:rPr>
  </w:style>
  <w:style w:type="table" w:customStyle="1" w:styleId="TableGrid">
    <w:name w:val="TableGrid"/>
    <w:rsid w:val="00366FAF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Máté</dc:creator>
  <cp:keywords/>
  <dc:description/>
  <cp:lastModifiedBy>Popovics Máté</cp:lastModifiedBy>
  <cp:revision>1</cp:revision>
  <dcterms:created xsi:type="dcterms:W3CDTF">2022-06-19T12:55:00Z</dcterms:created>
  <dcterms:modified xsi:type="dcterms:W3CDTF">2022-06-19T12:55:00Z</dcterms:modified>
</cp:coreProperties>
</file>