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0A" w:rsidRPr="004C730D" w:rsidRDefault="00D93C0E" w:rsidP="00750E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D93C0E">
        <w:rPr>
          <w:rFonts w:ascii="Times New Roman" w:hAnsi="Times New Roman" w:cs="Times New Roman"/>
          <w:b/>
          <w:sz w:val="24"/>
          <w:szCs w:val="24"/>
        </w:rPr>
        <w:t>Unit Operations II</w:t>
      </w:r>
      <w:r w:rsidRPr="00FB3156">
        <w:rPr>
          <w:b/>
          <w:sz w:val="24"/>
          <w:szCs w:val="24"/>
        </w:rPr>
        <w:t>.</w:t>
      </w:r>
      <w:proofErr w:type="gramEnd"/>
      <w:r w:rsidRPr="002B7388">
        <w:rPr>
          <w:b/>
        </w:rPr>
        <w:t xml:space="preserve"> </w:t>
      </w:r>
    </w:p>
    <w:p w:rsidR="00CA3418" w:rsidRPr="004C730D" w:rsidRDefault="00096E42" w:rsidP="00CA3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Code: </w:t>
      </w:r>
      <w:r w:rsidR="00175888">
        <w:t xml:space="preserve"> </w:t>
      </w:r>
      <w:r w:rsidR="00175888" w:rsidRPr="00175888">
        <w:rPr>
          <w:rFonts w:ascii="Times New Roman" w:hAnsi="Times New Roman" w:cs="Times New Roman"/>
          <w:b/>
          <w:sz w:val="24"/>
          <w:szCs w:val="24"/>
        </w:rPr>
        <w:t>MFKVM32K04_EN</w:t>
      </w:r>
    </w:p>
    <w:p w:rsidR="00CA3418" w:rsidRPr="004C730D" w:rsidRDefault="000D4846" w:rsidP="00CA3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ECTS Credit Points: </w:t>
      </w:r>
      <w:r w:rsidR="00D10AB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A3418"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750E0A" w:rsidRPr="004C730D" w:rsidRDefault="00750E0A" w:rsidP="00AD2D5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Year, Semester: </w:t>
      </w:r>
      <w:r w:rsidR="00D93C0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93C0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year/2</w:t>
      </w:r>
      <w:r w:rsidR="00D93C0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semester</w:t>
      </w:r>
    </w:p>
    <w:p w:rsidR="00750E0A" w:rsidRPr="004C730D" w:rsidRDefault="00750E0A" w:rsidP="00AD2D5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Number of teaching hours/week:</w:t>
      </w:r>
    </w:p>
    <w:p w:rsidR="00750E0A" w:rsidRPr="004C730D" w:rsidRDefault="00750E0A" w:rsidP="00AD2D5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Lecture: </w:t>
      </w:r>
      <w:r w:rsidR="00D93C0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750E0A" w:rsidRPr="004C730D" w:rsidRDefault="00750E0A" w:rsidP="00AD2D5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Practice: </w:t>
      </w:r>
      <w:r w:rsidR="00D93C0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</w:p>
    <w:p w:rsidR="00750E0A" w:rsidRPr="00B134C9" w:rsidRDefault="00750E0A" w:rsidP="00750E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34C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Prerequisites: </w:t>
      </w:r>
      <w:r w:rsidR="00D93C0E">
        <w:rPr>
          <w:rFonts w:ascii="Times New Roman" w:hAnsi="Times New Roman" w:cs="Times New Roman"/>
          <w:b/>
          <w:bCs/>
          <w:sz w:val="24"/>
          <w:szCs w:val="24"/>
          <w:lang w:val="en-GB"/>
        </w:rPr>
        <w:t>Unit Operations I.</w:t>
      </w:r>
      <w:r w:rsidR="00D92D03" w:rsidRPr="00B134C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CA3418" w:rsidRDefault="00750E0A" w:rsidP="00750E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Topics</w:t>
      </w:r>
      <w:r w:rsidRPr="004C73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:rsidR="00D93C0E" w:rsidRPr="00D93C0E" w:rsidRDefault="00D93C0E" w:rsidP="00D93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0E">
        <w:rPr>
          <w:rFonts w:ascii="Times New Roman" w:hAnsi="Times New Roman" w:cs="Times New Roman"/>
          <w:sz w:val="24"/>
          <w:szCs w:val="24"/>
        </w:rPr>
        <w:t>General characterization of transfer processes. Classification of transfer processes.</w:t>
      </w:r>
    </w:p>
    <w:p w:rsidR="00D93C0E" w:rsidRPr="00D93C0E" w:rsidRDefault="00D93C0E" w:rsidP="00D93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C0E">
        <w:rPr>
          <w:rFonts w:ascii="Times New Roman" w:hAnsi="Times New Roman" w:cs="Times New Roman"/>
          <w:sz w:val="24"/>
          <w:szCs w:val="24"/>
        </w:rPr>
        <w:t>Heat transfer.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General characterization of heat transfer.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Heat transfer by convection, conduction and radiation.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Application of dimensional analysis to heat-transfer by convection.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Heating and cooling. Heat transfer at standard- and changeable temperature difference. Unsteady- and steady state transfer of heat. The logarithmic mean temperature difference.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Heat exchangers.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C0E" w:rsidRPr="00D93C0E" w:rsidRDefault="00D93C0E" w:rsidP="00D93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C0E">
        <w:rPr>
          <w:rFonts w:ascii="Times New Roman" w:hAnsi="Times New Roman" w:cs="Times New Roman"/>
          <w:sz w:val="24"/>
          <w:szCs w:val="24"/>
        </w:rPr>
        <w:t>Evaporation and crystallization</w:t>
      </w:r>
      <w:r w:rsidR="00804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Mass transfer processes.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Mass transfer across a phase boundary, the two-film theory.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Common interpretation of the operating line and the equilibrium curve.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Mass transfer in the columns, the transfer units.</w:t>
      </w:r>
      <w:proofErr w:type="gramEnd"/>
      <w:r w:rsidRPr="00D93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C0E">
        <w:rPr>
          <w:rFonts w:ascii="Times New Roman" w:hAnsi="Times New Roman" w:cs="Times New Roman"/>
          <w:sz w:val="24"/>
          <w:szCs w:val="24"/>
        </w:rPr>
        <w:t>Mass transfer in the cascades, the equilibrium units.</w:t>
      </w:r>
      <w:proofErr w:type="gramEnd"/>
    </w:p>
    <w:p w:rsidR="00D93C0E" w:rsidRPr="00D93C0E" w:rsidRDefault="00D93C0E" w:rsidP="00D93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0E" w:rsidRPr="00D93C0E" w:rsidRDefault="00D93C0E" w:rsidP="00D93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3C0E">
        <w:rPr>
          <w:rFonts w:ascii="Times New Roman" w:hAnsi="Times New Roman" w:cs="Times New Roman"/>
          <w:sz w:val="24"/>
          <w:szCs w:val="24"/>
          <w:lang w:val="en-GB"/>
        </w:rPr>
        <w:t>Seminars/Practice: Problem-solving techniqu</w:t>
      </w:r>
      <w:r w:rsidR="00B43259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proofErr w:type="gramStart"/>
      <w:r w:rsidR="00B43259">
        <w:rPr>
          <w:rFonts w:ascii="Times New Roman" w:hAnsi="Times New Roman" w:cs="Times New Roman"/>
          <w:sz w:val="24"/>
          <w:szCs w:val="24"/>
          <w:lang w:val="en-GB"/>
        </w:rPr>
        <w:t>Examples- and problems-s</w:t>
      </w:r>
      <w:r w:rsidRPr="00D93C0E">
        <w:rPr>
          <w:rFonts w:ascii="Times New Roman" w:hAnsi="Times New Roman" w:cs="Times New Roman"/>
          <w:sz w:val="24"/>
          <w:szCs w:val="24"/>
          <w:lang w:val="en-GB"/>
        </w:rPr>
        <w:t>olving in Unit operations II.</w:t>
      </w:r>
      <w:proofErr w:type="gramEnd"/>
    </w:p>
    <w:p w:rsidR="004C730D" w:rsidRDefault="004C730D" w:rsidP="00CA34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:rsidR="00750E0A" w:rsidRPr="00B56B4D" w:rsidRDefault="00750E0A" w:rsidP="00CA34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</w:pPr>
      <w:r w:rsidRPr="00B56B4D">
        <w:rPr>
          <w:rFonts w:ascii="Times New Roman" w:hAnsi="Times New Roman" w:cs="Times New Roman"/>
          <w:b/>
          <w:color w:val="000000"/>
          <w:sz w:val="23"/>
          <w:szCs w:val="23"/>
          <w:lang w:val="en-GB"/>
        </w:rPr>
        <w:t xml:space="preserve">Literature: </w:t>
      </w:r>
    </w:p>
    <w:p w:rsidR="00804410" w:rsidRPr="00855802" w:rsidRDefault="00804410" w:rsidP="00804410">
      <w:pPr>
        <w:rPr>
          <w:lang w:val="en-GB"/>
        </w:rPr>
      </w:pPr>
      <w:r w:rsidRPr="00855802">
        <w:rPr>
          <w:lang w:val="en-GB"/>
        </w:rPr>
        <w:t>Required:</w:t>
      </w:r>
    </w:p>
    <w:p w:rsidR="00804410" w:rsidRDefault="00804410" w:rsidP="00804410">
      <w:pPr>
        <w:pStyle w:val="Listaszerbekezds"/>
        <w:spacing w:after="60"/>
        <w:ind w:left="502"/>
        <w:jc w:val="both"/>
        <w:rPr>
          <w:sz w:val="24"/>
          <w:szCs w:val="24"/>
        </w:rPr>
      </w:pPr>
      <w:proofErr w:type="spellStart"/>
      <w:r w:rsidRPr="00FB3156">
        <w:rPr>
          <w:sz w:val="24"/>
          <w:szCs w:val="24"/>
        </w:rPr>
        <w:t>Waren</w:t>
      </w:r>
      <w:proofErr w:type="spellEnd"/>
      <w:r w:rsidRPr="00FB3156">
        <w:rPr>
          <w:sz w:val="24"/>
          <w:szCs w:val="24"/>
        </w:rPr>
        <w:t xml:space="preserve"> L. McCabe; Julian C. Smith; Peter </w:t>
      </w:r>
      <w:proofErr w:type="spellStart"/>
      <w:r w:rsidRPr="00FB3156">
        <w:rPr>
          <w:sz w:val="24"/>
          <w:szCs w:val="24"/>
        </w:rPr>
        <w:t>Harriott</w:t>
      </w:r>
      <w:proofErr w:type="spellEnd"/>
      <w:r w:rsidRPr="00FB3156">
        <w:rPr>
          <w:sz w:val="24"/>
          <w:szCs w:val="24"/>
        </w:rPr>
        <w:t>: Unit Operation of Chemical Engineering. Seventh Edition, McGraw Hill Higher Education. 2005. ISBN 007-124710-6</w:t>
      </w:r>
    </w:p>
    <w:p w:rsidR="00804410" w:rsidRPr="00855802" w:rsidRDefault="00804410" w:rsidP="00804410">
      <w:pPr>
        <w:ind w:left="-43"/>
        <w:rPr>
          <w:lang w:val="en-GB"/>
        </w:rPr>
      </w:pPr>
      <w:r w:rsidRPr="00855802">
        <w:rPr>
          <w:lang w:val="en-GB"/>
        </w:rPr>
        <w:t>Recommended:</w:t>
      </w:r>
    </w:p>
    <w:p w:rsidR="00804410" w:rsidRPr="00FB3156" w:rsidRDefault="00804410" w:rsidP="00804410">
      <w:pPr>
        <w:pStyle w:val="Listaszerbekezds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 w:rsidRPr="00FB3156">
        <w:rPr>
          <w:sz w:val="24"/>
          <w:szCs w:val="24"/>
        </w:rPr>
        <w:t xml:space="preserve">Christie J. </w:t>
      </w:r>
      <w:proofErr w:type="spellStart"/>
      <w:r w:rsidRPr="00FB3156">
        <w:rPr>
          <w:sz w:val="24"/>
          <w:szCs w:val="24"/>
        </w:rPr>
        <w:t>Geonkoplis</w:t>
      </w:r>
      <w:proofErr w:type="spellEnd"/>
      <w:r w:rsidRPr="00FB3156">
        <w:rPr>
          <w:sz w:val="24"/>
          <w:szCs w:val="24"/>
        </w:rPr>
        <w:t>: Transport Processes and Separation Processes Principles. (Includes Unit Operations). Fo</w:t>
      </w:r>
      <w:r w:rsidR="00BC4C8C">
        <w:rPr>
          <w:sz w:val="24"/>
          <w:szCs w:val="24"/>
        </w:rPr>
        <w:t>u</w:t>
      </w:r>
      <w:r w:rsidRPr="00FB3156">
        <w:rPr>
          <w:sz w:val="24"/>
          <w:szCs w:val="24"/>
        </w:rPr>
        <w:t>rth Edition, 2008. ISBN 0-13-101367-X</w:t>
      </w:r>
    </w:p>
    <w:p w:rsidR="00CA3418" w:rsidRPr="00B56B4D" w:rsidRDefault="00804410" w:rsidP="00B56B4D">
      <w:pPr>
        <w:pStyle w:val="Listaszerbekezds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 w:rsidRPr="00804410">
        <w:rPr>
          <w:sz w:val="24"/>
          <w:szCs w:val="24"/>
        </w:rPr>
        <w:t>D. W. Green – R. H. Perry: Perry’s Chemical Engineers’ Handbook. 8</w:t>
      </w:r>
      <w:r w:rsidRPr="00804410">
        <w:rPr>
          <w:sz w:val="24"/>
          <w:szCs w:val="24"/>
          <w:vertAlign w:val="superscript"/>
        </w:rPr>
        <w:t>th</w:t>
      </w:r>
      <w:r w:rsidRPr="00804410">
        <w:rPr>
          <w:sz w:val="24"/>
          <w:szCs w:val="24"/>
        </w:rPr>
        <w:t xml:space="preserve"> Edition, McGraw-Hill 2008. ISBN 978-0-07-142294-9</w:t>
      </w:r>
    </w:p>
    <w:p w:rsidR="00386FB4" w:rsidRDefault="00386FB4" w:rsidP="00750E0A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750E0A" w:rsidRPr="004C730D" w:rsidRDefault="00CA3418" w:rsidP="00750E0A">
      <w:pPr>
        <w:pStyle w:val="Default"/>
        <w:rPr>
          <w:rFonts w:ascii="Times New Roman" w:hAnsi="Times New Roman" w:cs="Times New Roman"/>
          <w:b/>
          <w:lang w:val="en-GB"/>
        </w:rPr>
      </w:pPr>
      <w:r w:rsidRPr="004C730D">
        <w:rPr>
          <w:rFonts w:ascii="Times New Roman" w:hAnsi="Times New Roman" w:cs="Times New Roman"/>
          <w:b/>
          <w:lang w:val="en-GB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750E0A" w:rsidRPr="004C730D" w:rsidTr="00146139">
        <w:trPr>
          <w:jc w:val="center"/>
        </w:trPr>
        <w:tc>
          <w:tcPr>
            <w:tcW w:w="4606" w:type="dxa"/>
          </w:tcPr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B56B4D" w:rsidRPr="00D93C0E" w:rsidRDefault="00B56B4D" w:rsidP="00B5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85CAD" w:rsidRPr="00C85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and mechanisms of heat transfer</w:t>
            </w:r>
            <w:r w:rsidR="00C85C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Pr="00D93C0E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characterization of transfer processes. </w:t>
            </w:r>
          </w:p>
          <w:p w:rsidR="00157A61" w:rsidRPr="004C730D" w:rsidRDefault="00157A61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B56B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 </w:t>
            </w:r>
          </w:p>
          <w:p w:rsidR="00E354DC" w:rsidRDefault="00B56B4D" w:rsidP="0054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Seminar</w:t>
            </w:r>
            <w:r w:rsidR="006230F0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E354DC">
              <w:rPr>
                <w:rFonts w:ascii="Times New Roman" w:hAnsi="Times New Roman" w:cs="Times New Roman"/>
                <w:sz w:val="24"/>
                <w:szCs w:val="24"/>
              </w:rPr>
              <w:t>Introduction to steady-state heat transfer. Basic mechanisms of heat transfer. Conduction, convection, transfer</w:t>
            </w:r>
            <w:r w:rsidR="00565C4A">
              <w:rPr>
                <w:rFonts w:ascii="Times New Roman" w:hAnsi="Times New Roman" w:cs="Times New Roman"/>
                <w:sz w:val="24"/>
                <w:szCs w:val="24"/>
              </w:rPr>
              <w:t xml:space="preserve"> stream and radiation.</w:t>
            </w:r>
          </w:p>
          <w:p w:rsidR="00E354DC" w:rsidRDefault="00E354DC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E354DC" w:rsidRDefault="00B56B4D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 stream by bulk flow.</w:t>
            </w:r>
            <w:r w:rsidR="00B43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65C4A" w:rsidRP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Fourier’s law </w:t>
            </w:r>
            <w:r w:rsid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heat conduction. Thermal conductivity. Heat transfer. Newton’s law of cooling. Convective heat transfer coefficient.</w:t>
            </w:r>
          </w:p>
          <w:p w:rsidR="00565C4A" w:rsidRDefault="00565C4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B56B4D" w:rsidP="00F65F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Seminar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B43259" w:rsidRP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65F22" w:rsidRP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Conduction </w:t>
            </w:r>
            <w:r w:rsidR="00F6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</w:t>
            </w:r>
            <w:r w:rsid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transfer. Conduction through a flat slab or wall. </w:t>
            </w:r>
            <w:r w:rsidR="00F6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Conduction through a hollow cylinder.</w:t>
            </w:r>
            <w:r w:rsidR="00565C4A" w:rsidRPr="00565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65C4A" w:rsidRPr="00565C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65C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4606" w:type="dxa"/>
          </w:tcPr>
          <w:p w:rsidR="00764CF5" w:rsidRPr="004C730D" w:rsidRDefault="00764CF5" w:rsidP="0076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64CF5" w:rsidRPr="004C730D" w:rsidRDefault="00B56B4D" w:rsidP="0076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64CF5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64CF5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6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Conduction through solids in series. Plane walls in series. Multilayer cylinders.   Conduction through materials in parallel.  </w:t>
            </w:r>
          </w:p>
          <w:p w:rsidR="00764CF5" w:rsidRPr="004C730D" w:rsidRDefault="00764CF5" w:rsidP="0076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50E0A" w:rsidRPr="004C730D" w:rsidRDefault="00750E0A" w:rsidP="00764CF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  <w:r w:rsidR="00CB344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65F22" w:rsidRDefault="00B56B4D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65F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Combined convection and conduction and overall heat transfer coefficient. </w:t>
            </w:r>
          </w:p>
          <w:p w:rsidR="00CB344A" w:rsidRPr="004C730D" w:rsidRDefault="00F65F22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CB344A" w:rsidRPr="004C730D" w:rsidRDefault="00B56B4D" w:rsidP="00CB34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</w:t>
            </w:r>
            <w:r w:rsidR="00B432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Conduction with internal heat generation.     </w:t>
            </w: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D23023" w:rsidRPr="004C730D" w:rsidRDefault="00B56B4D" w:rsidP="00D23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23023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Mid-term test</w:t>
            </w: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F05F0D" w:rsidRDefault="00B56B4D" w:rsidP="00CB34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F05F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05F0D" w:rsidRP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</w:t>
            </w:r>
            <w:r w:rsid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exchangers. Types of heat exchangers. Log-mean temperature.</w:t>
            </w:r>
            <w:r w:rsidR="00F05F0D" w:rsidRP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50E0A" w:rsidRP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05F0D" w:rsidRP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B344A" w:rsidRPr="004C730D" w:rsidRDefault="00F05F0D" w:rsidP="00CB34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5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D23023" w:rsidRPr="004C730D" w:rsidRDefault="00D23023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6D31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50E0A" w:rsidRPr="004C730D" w:rsidTr="00146139">
        <w:trPr>
          <w:jc w:val="center"/>
        </w:trPr>
        <w:tc>
          <w:tcPr>
            <w:tcW w:w="4606" w:type="dxa"/>
          </w:tcPr>
          <w:p w:rsidR="00F05F0D" w:rsidRPr="004C730D" w:rsidRDefault="00F05F0D" w:rsidP="00F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10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F05F0D" w:rsidRDefault="00F05F0D" w:rsidP="00F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D2D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radiation heat transfer.</w:t>
            </w:r>
            <w:r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D2D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Basic equation of radiation. Radiation to a small object from surroundings. </w:t>
            </w:r>
          </w:p>
          <w:p w:rsidR="00F05F0D" w:rsidRDefault="00F05F0D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D23023" w:rsidRDefault="00B43259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D2D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Combined convection and radiation heat transfer. </w:t>
            </w:r>
          </w:p>
          <w:p w:rsidR="00AD2D5C" w:rsidRPr="004C730D" w:rsidRDefault="00AD2D5C" w:rsidP="00547E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B43259" w:rsidP="00AD2D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D2D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Dimensional analysis in heat transfer. Buckingham method.     </w:t>
            </w:r>
          </w:p>
        </w:tc>
        <w:tc>
          <w:tcPr>
            <w:tcW w:w="4606" w:type="dxa"/>
          </w:tcPr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6230F0" w:rsidRPr="004C730D" w:rsidRDefault="00B43259" w:rsidP="006D31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D2D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D93C0E">
              <w:rPr>
                <w:rFonts w:ascii="Times New Roman" w:hAnsi="Times New Roman" w:cs="Times New Roman"/>
                <w:sz w:val="24"/>
                <w:szCs w:val="24"/>
              </w:rPr>
              <w:t>Evaporation and crystallization</w:t>
            </w:r>
            <w:r w:rsidR="00AD2D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  <w:p w:rsidR="00D23023" w:rsidRPr="004C730D" w:rsidRDefault="00D23023" w:rsidP="006230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B43259" w:rsidP="006230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Lecture/</w:t>
            </w:r>
            <w:r w:rsidR="001A359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Seminar</w:t>
            </w:r>
            <w:r w:rsidR="00750E0A"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750E0A" w:rsidRPr="004C73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Introduction to mass transfer processes. Equilibrium of mass transfer processes. Classification of mass transfer processes.</w:t>
            </w:r>
          </w:p>
          <w:p w:rsidR="006230F0" w:rsidRPr="004C730D" w:rsidRDefault="006230F0" w:rsidP="00547E2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week:</w:t>
            </w:r>
          </w:p>
          <w:p w:rsidR="00750E0A" w:rsidRPr="004C730D" w:rsidRDefault="00750E0A" w:rsidP="00547E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73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End-term test</w:t>
            </w:r>
          </w:p>
        </w:tc>
      </w:tr>
    </w:tbl>
    <w:p w:rsidR="00750E0A" w:rsidRPr="004C730D" w:rsidRDefault="00750E0A" w:rsidP="00750E0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50E0A" w:rsidRPr="004C730D" w:rsidRDefault="00750E0A" w:rsidP="00750E0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Requirements</w:t>
      </w:r>
    </w:p>
    <w:p w:rsidR="00750E0A" w:rsidRPr="004C730D" w:rsidRDefault="00750E0A" w:rsidP="00750E0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A, for signature:</w:t>
      </w:r>
    </w:p>
    <w:p w:rsidR="00750E0A" w:rsidRPr="004C730D" w:rsidRDefault="00750E0A" w:rsidP="00750E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Participation at </w:t>
      </w:r>
      <w:r w:rsidR="00182C36">
        <w:rPr>
          <w:rFonts w:ascii="Times New Roman" w:hAnsi="Times New Roman" w:cs="Times New Roman"/>
          <w:b/>
          <w:sz w:val="24"/>
          <w:szCs w:val="24"/>
          <w:lang w:val="en-GB"/>
        </w:rPr>
        <w:t>seminar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is compulsory. </w:t>
      </w:r>
      <w:r w:rsidR="00182C36">
        <w:rPr>
          <w:rFonts w:ascii="Times New Roman" w:hAnsi="Times New Roman" w:cs="Times New Roman"/>
          <w:sz w:val="24"/>
          <w:szCs w:val="24"/>
          <w:lang w:val="en-GB"/>
        </w:rPr>
        <w:t>Student must attend the seminar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>s and my n</w:t>
      </w:r>
      <w:r w:rsidR="00182C36">
        <w:rPr>
          <w:rFonts w:ascii="Times New Roman" w:hAnsi="Times New Roman" w:cs="Times New Roman"/>
          <w:sz w:val="24"/>
          <w:szCs w:val="24"/>
          <w:lang w:val="en-GB"/>
        </w:rPr>
        <w:t>ot miss more than three seminar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during the semester. In case a student misses more than three, the subject will not be signed and the student must repeat the co</w:t>
      </w:r>
      <w:r w:rsidR="00182C36">
        <w:rPr>
          <w:rFonts w:ascii="Times New Roman" w:hAnsi="Times New Roman" w:cs="Times New Roman"/>
          <w:sz w:val="24"/>
          <w:szCs w:val="24"/>
          <w:lang w:val="en-GB"/>
        </w:rPr>
        <w:t>urse. The attendance on seminar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will</w:t>
      </w:r>
      <w:r w:rsidR="00182C36">
        <w:rPr>
          <w:rFonts w:ascii="Times New Roman" w:hAnsi="Times New Roman" w:cs="Times New Roman"/>
          <w:sz w:val="24"/>
          <w:szCs w:val="24"/>
          <w:lang w:val="en-GB"/>
        </w:rPr>
        <w:t xml:space="preserve"> be recorded by the seminar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leader. In case of further absences, a medical certificate needs to be presented. During the semester there are two tests: the mid-term test is in the 8</w:t>
      </w:r>
      <w:r w:rsidRPr="004C7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week and the end-term test in the 15</w:t>
      </w:r>
      <w:r w:rsidRPr="004C73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week. Students have to sit for the tests.</w:t>
      </w:r>
    </w:p>
    <w:p w:rsidR="00750E0A" w:rsidRPr="004C730D" w:rsidRDefault="00750E0A" w:rsidP="00750E0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B, for grade:</w:t>
      </w:r>
    </w:p>
    <w:p w:rsidR="00750E0A" w:rsidRPr="004C730D" w:rsidRDefault="00750E0A" w:rsidP="004C73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The course ends in </w:t>
      </w:r>
      <w:r w:rsidRPr="004C730D">
        <w:rPr>
          <w:rFonts w:ascii="Times New Roman" w:hAnsi="Times New Roman" w:cs="Times New Roman"/>
          <w:b/>
          <w:sz w:val="24"/>
          <w:szCs w:val="24"/>
          <w:lang w:val="en-GB"/>
        </w:rPr>
        <w:t>mid-semester grade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C730D" w:rsidRPr="004C730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>he mid-semester grade is calculated as an average of</w:t>
      </w:r>
      <w:r w:rsidR="004C730D"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the two tests’ results. 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>The minimum requirement for the mid-term and end-term tests is 60%. Based on the score of the tests separately, the grade for the tests is given according to the following table: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Score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Grade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0-59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4C730D">
        <w:rPr>
          <w:rFonts w:ascii="Times New Roman" w:hAnsi="Times New Roman" w:cs="Times New Roman"/>
          <w:sz w:val="24"/>
          <w:szCs w:val="24"/>
          <w:lang w:val="en-GB"/>
        </w:rPr>
        <w:t>fail</w:t>
      </w:r>
      <w:proofErr w:type="gramEnd"/>
      <w:r w:rsidRPr="004C730D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60-69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pass (2)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70-79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satisfactory (3)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80-89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good (4)</w:t>
      </w:r>
    </w:p>
    <w:p w:rsidR="00750E0A" w:rsidRPr="004C730D" w:rsidRDefault="00750E0A" w:rsidP="00750E0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90-100</w:t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C730D">
        <w:rPr>
          <w:rFonts w:ascii="Times New Roman" w:hAnsi="Times New Roman" w:cs="Times New Roman"/>
          <w:sz w:val="24"/>
          <w:szCs w:val="24"/>
          <w:lang w:val="en-GB"/>
        </w:rPr>
        <w:tab/>
        <w:t>excellent (5)</w:t>
      </w:r>
    </w:p>
    <w:p w:rsidR="00750E0A" w:rsidRPr="004C730D" w:rsidRDefault="00750E0A" w:rsidP="004C73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730D">
        <w:rPr>
          <w:rFonts w:ascii="Times New Roman" w:hAnsi="Times New Roman" w:cs="Times New Roman"/>
          <w:sz w:val="24"/>
          <w:szCs w:val="24"/>
          <w:lang w:val="en-GB"/>
        </w:rPr>
        <w:t>If the score of any test is below 60, the student once can take a retake test covering the whole semester material.</w:t>
      </w:r>
    </w:p>
    <w:p w:rsidR="00D92D03" w:rsidRPr="004C730D" w:rsidRDefault="00D92D03" w:rsidP="00750E0A">
      <w:pPr>
        <w:pStyle w:val="Default"/>
        <w:rPr>
          <w:b/>
          <w:lang w:val="en-GB"/>
        </w:rPr>
      </w:pPr>
    </w:p>
    <w:sectPr w:rsidR="00D92D03" w:rsidRPr="004C730D" w:rsidSect="00547E28">
      <w:pgSz w:w="11906" w:h="17338"/>
      <w:pgMar w:top="993" w:right="672" w:bottom="514" w:left="100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B43"/>
    <w:multiLevelType w:val="hybridMultilevel"/>
    <w:tmpl w:val="9D764D42"/>
    <w:lvl w:ilvl="0" w:tplc="A232C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CBB773E"/>
    <w:multiLevelType w:val="hybridMultilevel"/>
    <w:tmpl w:val="9CFE3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7829"/>
    <w:rsid w:val="000458B4"/>
    <w:rsid w:val="00096E42"/>
    <w:rsid w:val="000D4846"/>
    <w:rsid w:val="00142CCC"/>
    <w:rsid w:val="00146139"/>
    <w:rsid w:val="00157A61"/>
    <w:rsid w:val="00161D6B"/>
    <w:rsid w:val="00175888"/>
    <w:rsid w:val="00182C36"/>
    <w:rsid w:val="001A359A"/>
    <w:rsid w:val="002002B0"/>
    <w:rsid w:val="00237BF5"/>
    <w:rsid w:val="002E716E"/>
    <w:rsid w:val="00354963"/>
    <w:rsid w:val="00386FB4"/>
    <w:rsid w:val="004C730D"/>
    <w:rsid w:val="00557BB2"/>
    <w:rsid w:val="00565C4A"/>
    <w:rsid w:val="005F1F90"/>
    <w:rsid w:val="0060533C"/>
    <w:rsid w:val="006230F0"/>
    <w:rsid w:val="00630AAC"/>
    <w:rsid w:val="006B0EC8"/>
    <w:rsid w:val="006D1156"/>
    <w:rsid w:val="006D31E0"/>
    <w:rsid w:val="00732B5F"/>
    <w:rsid w:val="00750E0A"/>
    <w:rsid w:val="00764CF5"/>
    <w:rsid w:val="007B1A7E"/>
    <w:rsid w:val="00804410"/>
    <w:rsid w:val="008B5702"/>
    <w:rsid w:val="00960A9A"/>
    <w:rsid w:val="00973175"/>
    <w:rsid w:val="009B7829"/>
    <w:rsid w:val="00A41C89"/>
    <w:rsid w:val="00AC13E6"/>
    <w:rsid w:val="00AD2D5C"/>
    <w:rsid w:val="00AE0FDC"/>
    <w:rsid w:val="00B134C9"/>
    <w:rsid w:val="00B22710"/>
    <w:rsid w:val="00B43259"/>
    <w:rsid w:val="00B56B4D"/>
    <w:rsid w:val="00BC4C8C"/>
    <w:rsid w:val="00BC7DB1"/>
    <w:rsid w:val="00C85CAD"/>
    <w:rsid w:val="00CA3418"/>
    <w:rsid w:val="00CB344A"/>
    <w:rsid w:val="00D10AB4"/>
    <w:rsid w:val="00D23023"/>
    <w:rsid w:val="00D92D03"/>
    <w:rsid w:val="00D93C0E"/>
    <w:rsid w:val="00E354DC"/>
    <w:rsid w:val="00E434B8"/>
    <w:rsid w:val="00EB3E20"/>
    <w:rsid w:val="00F05F0D"/>
    <w:rsid w:val="00F65F22"/>
    <w:rsid w:val="00F80F95"/>
    <w:rsid w:val="00F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D6B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0E0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0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750E0A"/>
    <w:pPr>
      <w:spacing w:after="200"/>
      <w:ind w:left="720"/>
      <w:contextualSpacing/>
    </w:pPr>
  </w:style>
  <w:style w:type="character" w:customStyle="1" w:styleId="hps">
    <w:name w:val="hps"/>
    <w:basedOn w:val="Bekezdsalapbettpusa"/>
    <w:rsid w:val="00557BB2"/>
  </w:style>
  <w:style w:type="character" w:customStyle="1" w:styleId="shorttext">
    <w:name w:val="short_text"/>
    <w:basedOn w:val="Bekezdsalapbettpusa"/>
    <w:rsid w:val="00157A61"/>
  </w:style>
  <w:style w:type="character" w:customStyle="1" w:styleId="boldtxt">
    <w:name w:val="boldtxt"/>
    <w:basedOn w:val="Bekezdsalapbettpusa"/>
    <w:rsid w:val="00D93C0E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93C0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681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3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259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9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9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083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BEE8-2C7B-4EC0-AB23-136D55B9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4</cp:revision>
  <dcterms:created xsi:type="dcterms:W3CDTF">2014-11-03T13:20:00Z</dcterms:created>
  <dcterms:modified xsi:type="dcterms:W3CDTF">2015-05-28T08:48:00Z</dcterms:modified>
</cp:coreProperties>
</file>