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88" w:rsidRDefault="000F2088" w:rsidP="000F2088">
      <w:pPr>
        <w:pStyle w:val="Cmsor1"/>
        <w:ind w:left="2"/>
      </w:pPr>
      <w:r>
        <w:t xml:space="preserve">Urban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</w:p>
    <w:p w:rsidR="000F2088" w:rsidRDefault="000F2088" w:rsidP="000F2088">
      <w:pPr>
        <w:spacing w:after="42" w:line="259" w:lineRule="auto"/>
        <w:ind w:left="2" w:firstLine="0"/>
        <w:jc w:val="left"/>
      </w:pPr>
      <w:r>
        <w:t xml:space="preserve"> </w:t>
      </w:r>
    </w:p>
    <w:p w:rsidR="000F2088" w:rsidRDefault="000F2088" w:rsidP="000F2088">
      <w:pPr>
        <w:ind w:left="-3" w:right="112"/>
      </w:pPr>
      <w:proofErr w:type="spellStart"/>
      <w:r>
        <w:t>Code</w:t>
      </w:r>
      <w:proofErr w:type="spellEnd"/>
      <w:r>
        <w:t xml:space="preserve">: MK5MAG1S03TX17-EN </w:t>
      </w:r>
    </w:p>
    <w:p w:rsidR="000F2088" w:rsidRDefault="000F2088" w:rsidP="000F2088">
      <w:pPr>
        <w:ind w:left="-3" w:right="112"/>
      </w:pPr>
      <w:r>
        <w:t xml:space="preserve">ECTS Credit </w:t>
      </w:r>
      <w:proofErr w:type="spellStart"/>
      <w:r>
        <w:t>Points</w:t>
      </w:r>
      <w:proofErr w:type="spellEnd"/>
      <w:r>
        <w:t xml:space="preserve">: 3 </w:t>
      </w:r>
    </w:p>
    <w:p w:rsidR="000F2088" w:rsidRDefault="000F2088" w:rsidP="000F2088">
      <w:pPr>
        <w:ind w:left="-3" w:right="112"/>
      </w:pPr>
      <w:proofErr w:type="spellStart"/>
      <w:r>
        <w:t>Evaluation</w:t>
      </w:r>
      <w:proofErr w:type="spellEnd"/>
      <w:r>
        <w:t>: mid-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</w:p>
    <w:p w:rsidR="000F2088" w:rsidRDefault="000F2088" w:rsidP="000F2088">
      <w:pPr>
        <w:spacing w:after="70"/>
        <w:ind w:left="-3" w:right="112"/>
      </w:pPr>
      <w:r>
        <w:t xml:space="preserve">Year, </w:t>
      </w:r>
      <w:proofErr w:type="spellStart"/>
      <w:r>
        <w:t>Semester</w:t>
      </w:r>
      <w:proofErr w:type="spellEnd"/>
      <w:r>
        <w:t>: 1</w:t>
      </w:r>
      <w:r>
        <w:rPr>
          <w:vertAlign w:val="superscript"/>
        </w:rPr>
        <w:t>st</w:t>
      </w:r>
      <w:r>
        <w:t xml:space="preserve">, </w:t>
      </w:r>
      <w:proofErr w:type="spellStart"/>
      <w:r>
        <w:t>year</w:t>
      </w:r>
      <w:proofErr w:type="spellEnd"/>
      <w:r>
        <w:t xml:space="preserve"> 1</w:t>
      </w:r>
      <w:r>
        <w:rPr>
          <w:vertAlign w:val="superscript"/>
        </w:rPr>
        <w:t>st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0F2088" w:rsidRDefault="000F2088" w:rsidP="000F2088">
      <w:pPr>
        <w:ind w:left="-3" w:right="112"/>
      </w:pP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- </w:t>
      </w:r>
    </w:p>
    <w:p w:rsidR="000F2088" w:rsidRDefault="000F2088" w:rsidP="000F2088">
      <w:pPr>
        <w:ind w:left="-3" w:right="11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No </w:t>
      </w:r>
    </w:p>
    <w:p w:rsidR="000F2088" w:rsidRDefault="000F2088" w:rsidP="000F2088">
      <w:pPr>
        <w:ind w:left="-3" w:right="112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2 + 0 </w:t>
      </w:r>
    </w:p>
    <w:p w:rsidR="000F2088" w:rsidRDefault="000F2088" w:rsidP="000F2088">
      <w:pPr>
        <w:spacing w:after="42" w:line="259" w:lineRule="auto"/>
        <w:ind w:left="2" w:firstLine="0"/>
        <w:jc w:val="left"/>
      </w:pPr>
      <w:r>
        <w:t xml:space="preserve"> </w:t>
      </w:r>
    </w:p>
    <w:p w:rsidR="000F2088" w:rsidRDefault="000F2088" w:rsidP="000F2088">
      <w:pPr>
        <w:ind w:left="-3" w:right="112"/>
      </w:pPr>
      <w:proofErr w:type="spellStart"/>
      <w:r>
        <w:t>Topics</w:t>
      </w:r>
      <w:proofErr w:type="spellEnd"/>
      <w:r>
        <w:t xml:space="preserve">:  </w:t>
      </w:r>
    </w:p>
    <w:p w:rsidR="000F2088" w:rsidRDefault="000F2088" w:rsidP="000F2088">
      <w:pPr>
        <w:ind w:left="-3" w:right="112"/>
      </w:pPr>
      <w:proofErr w:type="spellStart"/>
      <w:r>
        <w:t>Phenomena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procedures</w:t>
      </w:r>
      <w:proofErr w:type="spellEnd"/>
      <w:r>
        <w:t xml:space="preserve"> of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and </w:t>
      </w:r>
      <w:proofErr w:type="spellStart"/>
      <w:r>
        <w:t>worldwide</w:t>
      </w:r>
      <w:proofErr w:type="spellEnd"/>
      <w:r>
        <w:t xml:space="preserve">. </w:t>
      </w:r>
      <w:proofErr w:type="spellStart"/>
      <w:r>
        <w:t>Segregation</w:t>
      </w:r>
      <w:proofErr w:type="spellEnd"/>
      <w:r>
        <w:t xml:space="preserve">. </w:t>
      </w:r>
      <w:proofErr w:type="spellStart"/>
      <w:r>
        <w:t>Improvement</w:t>
      </w:r>
      <w:proofErr w:type="spellEnd"/>
      <w:r>
        <w:t xml:space="preserve"> of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criterion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. Good and </w:t>
      </w:r>
      <w:proofErr w:type="spellStart"/>
      <w:r>
        <w:t>bad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: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projects. Urban </w:t>
      </w:r>
      <w:proofErr w:type="spellStart"/>
      <w:r>
        <w:t>heritage</w:t>
      </w:r>
      <w:proofErr w:type="spellEnd"/>
      <w:r>
        <w:t xml:space="preserve">. </w:t>
      </w:r>
      <w:proofErr w:type="spellStart"/>
      <w:r>
        <w:t>Discussion</w:t>
      </w:r>
      <w:proofErr w:type="spellEnd"/>
      <w:r>
        <w:t xml:space="preserve"> and </w:t>
      </w:r>
      <w:proofErr w:type="spellStart"/>
      <w:r>
        <w:t>profound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. The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of more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.  </w:t>
      </w:r>
    </w:p>
    <w:p w:rsidR="000F2088" w:rsidRDefault="000F2088" w:rsidP="000F2088">
      <w:pPr>
        <w:ind w:left="-3" w:right="112"/>
      </w:pPr>
      <w:proofErr w:type="spellStart"/>
      <w:r>
        <w:t>Studio</w:t>
      </w:r>
      <w:proofErr w:type="spellEnd"/>
      <w:r>
        <w:t xml:space="preserve">: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 is an </w:t>
      </w:r>
      <w:proofErr w:type="spellStart"/>
      <w:r>
        <w:t>integrated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Urban Design </w:t>
      </w:r>
      <w:proofErr w:type="spellStart"/>
      <w:r>
        <w:t>Studio</w:t>
      </w:r>
      <w:proofErr w:type="spellEnd"/>
      <w:r>
        <w:t xml:space="preserve"> (design </w:t>
      </w:r>
      <w:proofErr w:type="spellStart"/>
      <w:r>
        <w:t>task</w:t>
      </w:r>
      <w:proofErr w:type="spellEnd"/>
      <w:r>
        <w:t xml:space="preserve">). </w:t>
      </w:r>
      <w:proofErr w:type="spellStart"/>
      <w:r>
        <w:t>Lectures</w:t>
      </w:r>
      <w:proofErr w:type="spellEnd"/>
      <w:r>
        <w:t xml:space="preserve">: </w:t>
      </w:r>
      <w:proofErr w:type="spellStart"/>
      <w:r>
        <w:t>interactive</w:t>
      </w:r>
      <w:proofErr w:type="spellEnd"/>
      <w:r>
        <w:t xml:space="preserve"> + </w:t>
      </w:r>
      <w:proofErr w:type="spellStart"/>
      <w:r>
        <w:t>frontal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 </w:t>
      </w:r>
    </w:p>
    <w:p w:rsidR="000F2088" w:rsidRDefault="000F2088" w:rsidP="000F2088">
      <w:pPr>
        <w:spacing w:after="42" w:line="259" w:lineRule="auto"/>
        <w:ind w:left="2" w:firstLine="0"/>
        <w:jc w:val="left"/>
      </w:pPr>
      <w:r>
        <w:t xml:space="preserve"> </w:t>
      </w:r>
    </w:p>
    <w:p w:rsidR="000F2088" w:rsidRDefault="000F2088" w:rsidP="000F2088">
      <w:pPr>
        <w:ind w:left="-3" w:right="112"/>
      </w:pPr>
      <w:proofErr w:type="spellStart"/>
      <w:r>
        <w:t>Literature</w:t>
      </w:r>
      <w:proofErr w:type="spellEnd"/>
      <w:r>
        <w:t xml:space="preserve">: </w:t>
      </w:r>
    </w:p>
    <w:p w:rsidR="000F2088" w:rsidRDefault="000F2088" w:rsidP="000F2088">
      <w:pPr>
        <w:spacing w:after="74" w:line="259" w:lineRule="auto"/>
        <w:ind w:left="-3"/>
        <w:jc w:val="left"/>
      </w:pPr>
      <w:proofErr w:type="spellStart"/>
      <w:r>
        <w:rPr>
          <w:i/>
        </w:rPr>
        <w:t>Recommended</w:t>
      </w:r>
      <w:proofErr w:type="spellEnd"/>
      <w:r>
        <w:rPr>
          <w:i/>
        </w:rPr>
        <w:t xml:space="preserve">: </w:t>
      </w:r>
    </w:p>
    <w:p w:rsidR="000F2088" w:rsidRDefault="000F2088" w:rsidP="000F2088">
      <w:pPr>
        <w:numPr>
          <w:ilvl w:val="0"/>
          <w:numId w:val="1"/>
        </w:numPr>
        <w:ind w:right="112" w:hanging="360"/>
      </w:pPr>
      <w:r>
        <w:t xml:space="preserve">Fitz, </w:t>
      </w:r>
      <w:proofErr w:type="gramStart"/>
      <w:r>
        <w:t>A</w:t>
      </w:r>
      <w:proofErr w:type="gramEnd"/>
      <w:r>
        <w:t>. -</w:t>
      </w:r>
      <w:proofErr w:type="spellStart"/>
      <w:r>
        <w:t>Krasny</w:t>
      </w:r>
      <w:proofErr w:type="spellEnd"/>
      <w:r>
        <w:t>, E. -</w:t>
      </w:r>
      <w:proofErr w:type="spellStart"/>
      <w:r>
        <w:t>Architekturzentrum</w:t>
      </w:r>
      <w:proofErr w:type="spellEnd"/>
      <w:r>
        <w:t xml:space="preserve"> Wien, 2019.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: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Urbanism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. The MIT Press, Cambridge/London. ISBN 9780-262-53683 </w:t>
      </w:r>
    </w:p>
    <w:p w:rsidR="000F2088" w:rsidRDefault="000F2088" w:rsidP="000F2088">
      <w:pPr>
        <w:numPr>
          <w:ilvl w:val="0"/>
          <w:numId w:val="1"/>
        </w:numPr>
        <w:spacing w:after="83"/>
        <w:ind w:right="112" w:hanging="360"/>
      </w:pPr>
      <w:proofErr w:type="spellStart"/>
      <w:r>
        <w:t>Council</w:t>
      </w:r>
      <w:proofErr w:type="spellEnd"/>
      <w:r>
        <w:t xml:space="preserve"> of Europe, 2005.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. </w:t>
      </w:r>
      <w:proofErr w:type="spellStart"/>
      <w:r>
        <w:t>Council</w:t>
      </w:r>
      <w:proofErr w:type="spellEnd"/>
      <w:r>
        <w:t xml:space="preserve"> of Europe Publishing, Strasbourg. ISBN 978-92-871-5528-3 </w:t>
      </w:r>
    </w:p>
    <w:p w:rsidR="000F2088" w:rsidRDefault="000F2088" w:rsidP="000F2088">
      <w:pPr>
        <w:numPr>
          <w:ilvl w:val="0"/>
          <w:numId w:val="1"/>
        </w:numPr>
        <w:spacing w:after="80"/>
        <w:ind w:right="112" w:hanging="360"/>
      </w:pPr>
      <w:r>
        <w:t xml:space="preserve">UNESCO, 2016. </w:t>
      </w:r>
      <w:proofErr w:type="spellStart"/>
      <w:r>
        <w:t>Culture</w:t>
      </w:r>
      <w:proofErr w:type="spellEnd"/>
      <w:r>
        <w:t xml:space="preserve">: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;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UNESCO, Paris. ISBN:978-92-3-100170-3 </w:t>
      </w:r>
    </w:p>
    <w:p w:rsidR="000F2088" w:rsidRDefault="000F2088" w:rsidP="000F2088">
      <w:pPr>
        <w:numPr>
          <w:ilvl w:val="0"/>
          <w:numId w:val="1"/>
        </w:numPr>
        <w:ind w:right="112" w:hanging="360"/>
      </w:pP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 of Urban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and </w:t>
      </w:r>
      <w:proofErr w:type="spellStart"/>
      <w:r>
        <w:t>handbooks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</w:t>
      </w:r>
      <w:proofErr w:type="spellStart"/>
      <w:r>
        <w:t>learning</w:t>
      </w:r>
      <w:proofErr w:type="spellEnd"/>
      <w:r>
        <w:t xml:space="preserve"> platform. </w:t>
      </w:r>
    </w:p>
    <w:p w:rsidR="000F2088" w:rsidRDefault="000F2088" w:rsidP="000F2088">
      <w:pPr>
        <w:spacing w:after="42" w:line="259" w:lineRule="auto"/>
        <w:ind w:left="722" w:firstLine="0"/>
        <w:jc w:val="left"/>
      </w:pPr>
      <w:r>
        <w:t xml:space="preserve"> </w:t>
      </w:r>
    </w:p>
    <w:p w:rsidR="000F2088" w:rsidRDefault="000F2088" w:rsidP="000F2088">
      <w:pPr>
        <w:spacing w:after="40" w:line="259" w:lineRule="auto"/>
        <w:ind w:left="722" w:firstLine="0"/>
        <w:jc w:val="left"/>
      </w:pPr>
      <w:r>
        <w:t xml:space="preserve"> </w:t>
      </w:r>
    </w:p>
    <w:p w:rsidR="000F2088" w:rsidRDefault="000F2088" w:rsidP="000F2088">
      <w:pPr>
        <w:spacing w:after="7"/>
        <w:ind w:left="-3" w:right="112"/>
      </w:pPr>
      <w:r>
        <w:t xml:space="preserve">Schedule </w:t>
      </w:r>
    </w:p>
    <w:tbl>
      <w:tblPr>
        <w:tblStyle w:val="TableGrid"/>
        <w:tblW w:w="7372" w:type="dxa"/>
        <w:tblInd w:w="2" w:type="dxa"/>
        <w:tblCellMar>
          <w:top w:w="86" w:type="dxa"/>
          <w:left w:w="108" w:type="dxa"/>
          <w:bottom w:w="57" w:type="dxa"/>
          <w:right w:w="27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0F2088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88" w:rsidRDefault="000F2088" w:rsidP="001D16E5">
            <w:pPr>
              <w:spacing w:after="66" w:line="259" w:lineRule="auto"/>
              <w:ind w:left="0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Urban </w:t>
            </w:r>
            <w:proofErr w:type="spellStart"/>
            <w:r>
              <w:t>Rehabilitation</w:t>
            </w:r>
            <w:proofErr w:type="spellEnd"/>
            <w:r>
              <w:t xml:space="preserve">.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</w:tr>
      <w:tr w:rsidR="000F2088" w:rsidTr="001D16E5">
        <w:trPr>
          <w:trHeight w:val="926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2088" w:rsidRDefault="000F2088" w:rsidP="001D16E5">
            <w:pPr>
              <w:spacing w:after="82" w:line="259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tabs>
                <w:tab w:val="center" w:pos="1175"/>
                <w:tab w:val="center" w:pos="2024"/>
                <w:tab w:val="right" w:pos="3552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r>
              <w:tab/>
              <w:t xml:space="preserve">Urban </w:t>
            </w:r>
            <w:r>
              <w:tab/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processes</w:t>
            </w:r>
            <w:proofErr w:type="spellEnd"/>
            <w:r>
              <w:t xml:space="preserve">.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Introduction</w:t>
            </w:r>
            <w:proofErr w:type="spellEnd"/>
            <w:r>
              <w:t xml:space="preserve"> – </w:t>
            </w:r>
            <w:proofErr w:type="spellStart"/>
            <w:r>
              <w:t>phenomena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2088" w:rsidRDefault="000F2088" w:rsidP="001D16E5">
            <w:pPr>
              <w:spacing w:after="160" w:line="259" w:lineRule="auto"/>
              <w:ind w:left="0" w:firstLine="0"/>
              <w:jc w:val="left"/>
            </w:pPr>
          </w:p>
        </w:tc>
      </w:tr>
      <w:tr w:rsidR="000F2088" w:rsidTr="001D16E5">
        <w:trPr>
          <w:trHeight w:val="912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2088" w:rsidRDefault="000F2088" w:rsidP="001D16E5">
            <w:pPr>
              <w:spacing w:after="65" w:line="259" w:lineRule="auto"/>
              <w:ind w:left="0" w:firstLine="0"/>
              <w:jc w:val="lef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  <w:r>
              <w:t xml:space="preserve"> (</w:t>
            </w:r>
            <w:proofErr w:type="spellStart"/>
            <w:r>
              <w:t>joint</w:t>
            </w:r>
            <w:proofErr w:type="spellEnd"/>
            <w:r>
              <w:t xml:space="preserve">: Urban Design,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r>
              <w:t xml:space="preserve">Urban </w:t>
            </w:r>
            <w:proofErr w:type="spellStart"/>
            <w:r>
              <w:t>Morphology</w:t>
            </w:r>
            <w:proofErr w:type="spellEnd"/>
            <w:r>
              <w:t xml:space="preserve">)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2088" w:rsidRDefault="000F2088" w:rsidP="001D16E5">
            <w:pPr>
              <w:spacing w:after="68" w:line="259" w:lineRule="auto"/>
              <w:ind w:left="0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Urban </w:t>
            </w:r>
            <w:proofErr w:type="spellStart"/>
            <w:r>
              <w:t>Revitalisation</w:t>
            </w:r>
            <w:proofErr w:type="spellEnd"/>
            <w:r>
              <w:t xml:space="preserve">.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 </w:t>
            </w:r>
          </w:p>
        </w:tc>
      </w:tr>
      <w:tr w:rsidR="000F2088" w:rsidTr="001D16E5">
        <w:trPr>
          <w:trHeight w:val="899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2088" w:rsidRDefault="000F2088" w:rsidP="001D16E5">
            <w:pPr>
              <w:spacing w:after="81" w:line="259" w:lineRule="auto"/>
              <w:ind w:left="0" w:firstLine="0"/>
              <w:jc w:val="left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tabs>
                <w:tab w:val="center" w:pos="1434"/>
                <w:tab w:val="center" w:pos="2450"/>
                <w:tab w:val="right" w:pos="3552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Segregation</w:t>
            </w:r>
            <w:proofErr w:type="spellEnd"/>
            <w:r>
              <w:t xml:space="preserve">. </w:t>
            </w:r>
            <w:r>
              <w:tab/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r>
              <w:tab/>
              <w:t xml:space="preserve">Urban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Rehabilitation</w:t>
            </w:r>
            <w:proofErr w:type="spellEnd"/>
            <w:r>
              <w:t xml:space="preserve">.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2088" w:rsidRDefault="000F2088" w:rsidP="001D16E5">
            <w:pPr>
              <w:spacing w:after="68" w:line="259" w:lineRule="auto"/>
              <w:ind w:lef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Functional</w:t>
            </w:r>
            <w:proofErr w:type="spellEnd"/>
            <w:r>
              <w:t xml:space="preserve"> Urban </w:t>
            </w:r>
            <w:proofErr w:type="spellStart"/>
            <w:r>
              <w:t>Rehabilitation</w:t>
            </w:r>
            <w:proofErr w:type="spellEnd"/>
            <w:r>
              <w:t xml:space="preserve">.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</w:tr>
      <w:tr w:rsidR="000F2088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F2088" w:rsidTr="001D16E5">
        <w:trPr>
          <w:trHeight w:val="92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2088" w:rsidRDefault="000F2088" w:rsidP="001D16E5">
            <w:pPr>
              <w:spacing w:after="66" w:line="259" w:lineRule="auto"/>
              <w:ind w:left="0" w:firstLine="0"/>
              <w:jc w:val="left"/>
            </w:pPr>
            <w:r>
              <w:lastRenderedPageBreak/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Urban </w:t>
            </w:r>
            <w:proofErr w:type="spellStart"/>
            <w:r>
              <w:t>Rehabilitation</w:t>
            </w:r>
            <w:proofErr w:type="spellEnd"/>
            <w:r>
              <w:t xml:space="preserve"> </w:t>
            </w:r>
            <w:proofErr w:type="spellStart"/>
            <w:r>
              <w:t>Towards</w:t>
            </w:r>
            <w:proofErr w:type="spellEnd"/>
            <w:r>
              <w:t xml:space="preserve"> Urban </w:t>
            </w:r>
            <w:proofErr w:type="spellStart"/>
            <w:r>
              <w:t>Sustainability</w:t>
            </w:r>
            <w:proofErr w:type="spellEnd"/>
            <w:r>
              <w:t xml:space="preserve"> and </w:t>
            </w:r>
            <w:proofErr w:type="spellStart"/>
            <w:r>
              <w:t>Resilience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2088" w:rsidRDefault="000F2088" w:rsidP="001D16E5">
            <w:pPr>
              <w:spacing w:after="65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neighbourhoods</w:t>
            </w:r>
            <w:proofErr w:type="spellEnd"/>
            <w:r>
              <w:t xml:space="preserve">.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Inclusion</w:t>
            </w:r>
            <w:proofErr w:type="spellEnd"/>
            <w:r>
              <w:t xml:space="preserve">. </w:t>
            </w:r>
          </w:p>
        </w:tc>
      </w:tr>
      <w:tr w:rsidR="000F2088" w:rsidTr="001D16E5">
        <w:trPr>
          <w:trHeight w:val="913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2088" w:rsidRDefault="000F2088" w:rsidP="001D16E5">
            <w:pPr>
              <w:spacing w:after="67" w:line="259" w:lineRule="auto"/>
              <w:ind w:lef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Acts</w:t>
            </w:r>
            <w:proofErr w:type="spellEnd"/>
            <w:r>
              <w:t xml:space="preserve"> and </w:t>
            </w:r>
            <w:proofErr w:type="spellStart"/>
            <w:r>
              <w:t>policies</w:t>
            </w:r>
            <w:proofErr w:type="spellEnd"/>
            <w:r>
              <w:t xml:space="preserve">: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2088" w:rsidRDefault="000F2088" w:rsidP="001D16E5">
            <w:pPr>
              <w:spacing w:after="67" w:line="259" w:lineRule="auto"/>
              <w:ind w:lef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Urban </w:t>
            </w:r>
            <w:proofErr w:type="spellStart"/>
            <w:r>
              <w:t>Heritage</w:t>
            </w:r>
            <w:proofErr w:type="spellEnd"/>
            <w:r>
              <w:t xml:space="preserve">. UNESCO and local </w:t>
            </w:r>
            <w:proofErr w:type="spellStart"/>
            <w:r>
              <w:t>authorities</w:t>
            </w:r>
            <w:proofErr w:type="spellEnd"/>
            <w:r>
              <w:t xml:space="preserve">.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. </w:t>
            </w:r>
          </w:p>
        </w:tc>
      </w:tr>
      <w:tr w:rsidR="000F2088" w:rsidTr="001D16E5">
        <w:trPr>
          <w:trHeight w:val="90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2088" w:rsidRDefault="000F2088" w:rsidP="001D16E5">
            <w:pPr>
              <w:spacing w:after="67" w:line="259" w:lineRule="auto"/>
              <w:ind w:left="0" w:firstLine="0"/>
              <w:jc w:val="left"/>
            </w:pP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renewal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  <w:r>
              <w:t xml:space="preserve"> design </w:t>
            </w:r>
            <w:proofErr w:type="spellStart"/>
            <w:r>
              <w:t>process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088" w:rsidRDefault="000F2088" w:rsidP="001D16E5">
            <w:pPr>
              <w:spacing w:after="67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Systematization</w:t>
            </w:r>
            <w:proofErr w:type="spellEnd"/>
            <w:r>
              <w:t xml:space="preserve"> and </w:t>
            </w:r>
            <w:proofErr w:type="spellStart"/>
            <w:r>
              <w:t>discussion</w:t>
            </w:r>
            <w:proofErr w:type="spellEnd"/>
            <w:r>
              <w:t xml:space="preserve">. </w:t>
            </w:r>
          </w:p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Valorisation</w:t>
            </w:r>
            <w:proofErr w:type="spellEnd"/>
            <w:r>
              <w:t xml:space="preserve"> and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</w:tc>
      </w:tr>
      <w:tr w:rsidR="000F2088" w:rsidTr="001D16E5">
        <w:trPr>
          <w:trHeight w:val="36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F2088" w:rsidRDefault="000F2088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2088" w:rsidRDefault="000F2088" w:rsidP="001D1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F2088" w:rsidRDefault="000F2088" w:rsidP="000F2088">
      <w:pPr>
        <w:spacing w:after="42" w:line="259" w:lineRule="auto"/>
        <w:ind w:left="2" w:firstLine="0"/>
        <w:jc w:val="left"/>
      </w:pPr>
      <w:r>
        <w:t xml:space="preserve"> </w:t>
      </w:r>
    </w:p>
    <w:p w:rsidR="000F2088" w:rsidRDefault="000F2088" w:rsidP="000F2088">
      <w:pPr>
        <w:ind w:left="-3" w:right="112"/>
      </w:pPr>
      <w:proofErr w:type="spellStart"/>
      <w:r>
        <w:t>Requirements</w:t>
      </w:r>
      <w:proofErr w:type="spellEnd"/>
      <w:r>
        <w:t xml:space="preserve"> </w:t>
      </w:r>
    </w:p>
    <w:p w:rsidR="000F2088" w:rsidRDefault="000F2088" w:rsidP="000F2088">
      <w:pPr>
        <w:ind w:left="-3" w:right="112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</w:p>
    <w:p w:rsidR="000F2088" w:rsidRDefault="000F2088" w:rsidP="000F2088">
      <w:pPr>
        <w:ind w:left="-3" w:right="112"/>
      </w:pPr>
      <w:proofErr w:type="spellStart"/>
      <w:r>
        <w:t>Participation</w:t>
      </w:r>
      <w:proofErr w:type="spellEnd"/>
      <w:r>
        <w:t xml:space="preserve"> in </w:t>
      </w:r>
      <w:proofErr w:type="spellStart"/>
      <w:r>
        <w:t>lectures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must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(11+3).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,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must be </w:t>
      </w:r>
      <w:proofErr w:type="spellStart"/>
      <w:r>
        <w:t>presented</w:t>
      </w:r>
      <w:proofErr w:type="spellEnd"/>
      <w:r>
        <w:t xml:space="preserve">. The </w:t>
      </w:r>
      <w:proofErr w:type="spellStart"/>
      <w:r>
        <w:t>attendance</w:t>
      </w:r>
      <w:proofErr w:type="spellEnd"/>
      <w:r>
        <w:t xml:space="preserve"> is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. Being </w:t>
      </w:r>
      <w:proofErr w:type="spellStart"/>
      <w:r>
        <w:t>late</w:t>
      </w:r>
      <w:proofErr w:type="spellEnd"/>
      <w:r>
        <w:t xml:space="preserve"> is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unofficially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allowed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(</w:t>
      </w:r>
      <w:proofErr w:type="spellStart"/>
      <w:r>
        <w:t>completed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must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 </w:t>
      </w:r>
    </w:p>
    <w:p w:rsidR="000F2088" w:rsidRDefault="000F2088" w:rsidP="000F2088">
      <w:pPr>
        <w:ind w:left="-3" w:right="112"/>
      </w:pPr>
      <w:r>
        <w:t xml:space="preserve">B,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: </w:t>
      </w:r>
    </w:p>
    <w:p w:rsidR="000F2088" w:rsidRDefault="000F2088" w:rsidP="000F2088">
      <w:pPr>
        <w:ind w:left="-3" w:right="112"/>
      </w:pPr>
      <w:r>
        <w:t xml:space="preserve">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Urban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Urban Design </w:t>
      </w:r>
      <w:proofErr w:type="spellStart"/>
      <w:r>
        <w:t>Studio</w:t>
      </w:r>
      <w:proofErr w:type="spellEnd"/>
      <w:r>
        <w:t xml:space="preserve">.  </w:t>
      </w:r>
    </w:p>
    <w:p w:rsidR="000F2088" w:rsidRDefault="000F2088" w:rsidP="000F2088">
      <w:pPr>
        <w:spacing w:after="42" w:line="259" w:lineRule="auto"/>
        <w:ind w:left="2" w:firstLine="0"/>
        <w:jc w:val="left"/>
      </w:pPr>
      <w:r>
        <w:t xml:space="preserve"> </w:t>
      </w:r>
    </w:p>
    <w:p w:rsidR="0088617F" w:rsidRDefault="0088617F">
      <w:bookmarkStart w:id="0" w:name="_GoBack"/>
      <w:bookmarkEnd w:id="0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C75"/>
    <w:multiLevelType w:val="hybridMultilevel"/>
    <w:tmpl w:val="5D062C82"/>
    <w:lvl w:ilvl="0" w:tplc="E110D962">
      <w:start w:val="5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CF2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6EB1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A54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6D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26F5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E83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EEF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C54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88"/>
    <w:rsid w:val="000F2088"/>
    <w:rsid w:val="008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9FE-97B4-4B69-82E9-5E3276C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088"/>
    <w:pPr>
      <w:spacing w:after="49" w:line="251" w:lineRule="auto"/>
      <w:ind w:left="13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0F2088"/>
    <w:pPr>
      <w:keepNext/>
      <w:keepLines/>
      <w:spacing w:after="29" w:line="249" w:lineRule="auto"/>
      <w:ind w:left="17" w:hanging="10"/>
      <w:outlineLvl w:val="0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2088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0F208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2022-06-19T12:50:00Z</dcterms:created>
  <dcterms:modified xsi:type="dcterms:W3CDTF">2022-06-19T12:51:00Z</dcterms:modified>
</cp:coreProperties>
</file>