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FA" w:rsidRDefault="001F72FA" w:rsidP="001F72FA">
      <w:pPr>
        <w:spacing w:line="100" w:lineRule="atLeast"/>
        <w:jc w:val="both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4"/>
          <w:szCs w:val="28"/>
          <w:lang w:val="en-US"/>
        </w:rPr>
        <w:t>Strengthening of Structures</w:t>
      </w:r>
    </w:p>
    <w:p w:rsidR="001F72FA" w:rsidRDefault="001F72FA" w:rsidP="001F72FA">
      <w:pPr>
        <w:spacing w:line="100" w:lineRule="atLeast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Code: </w:t>
      </w:r>
      <w:r>
        <w:rPr>
          <w:b/>
          <w:bCs/>
          <w:color w:val="000000"/>
          <w:sz w:val="24"/>
          <w:szCs w:val="24"/>
          <w:lang w:val="en-US"/>
        </w:rPr>
        <w:t>MFSZM31SM3-EN</w:t>
      </w:r>
    </w:p>
    <w:p w:rsidR="001F72FA" w:rsidRDefault="001F72FA" w:rsidP="001F72FA">
      <w:pPr>
        <w:spacing w:line="100" w:lineRule="atLeast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ECTS Credit Points: 3 </w:t>
      </w:r>
    </w:p>
    <w:p w:rsidR="002B7AF0" w:rsidRPr="002B7AF0" w:rsidRDefault="002B7AF0" w:rsidP="002B7AF0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mid-semester grade</w:t>
      </w:r>
      <w:r>
        <w:rPr>
          <w:b/>
          <w:bCs/>
          <w:color w:val="000000"/>
          <w:sz w:val="23"/>
          <w:szCs w:val="23"/>
          <w:lang w:val="en-US"/>
        </w:rPr>
        <w:t xml:space="preserve"> </w:t>
      </w:r>
    </w:p>
    <w:p w:rsidR="001F72FA" w:rsidRDefault="001F72FA" w:rsidP="001F72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Year, Semester: 4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year/1</w:t>
      </w:r>
      <w:r w:rsidR="00D0330A" w:rsidRPr="00D0330A">
        <w:rPr>
          <w:sz w:val="24"/>
          <w:szCs w:val="24"/>
          <w:vertAlign w:val="superscript"/>
          <w:lang w:val="en-US"/>
        </w:rPr>
        <w:t>st</w:t>
      </w:r>
      <w:r w:rsidR="00D033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semester</w:t>
      </w:r>
    </w:p>
    <w:p w:rsidR="001F72FA" w:rsidRDefault="001F72FA" w:rsidP="001F72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teaching hours/week:</w:t>
      </w:r>
    </w:p>
    <w:p w:rsidR="001F72FA" w:rsidRDefault="001F72FA" w:rsidP="001F72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Lecture: </w:t>
      </w:r>
      <w:r>
        <w:rPr>
          <w:b/>
          <w:sz w:val="24"/>
          <w:szCs w:val="24"/>
          <w:lang w:val="en-US"/>
        </w:rPr>
        <w:t>2</w:t>
      </w:r>
    </w:p>
    <w:p w:rsidR="001F72FA" w:rsidRDefault="001F72FA" w:rsidP="001F72FA">
      <w:pPr>
        <w:rPr>
          <w:b/>
          <w:bCs/>
          <w:color w:val="000000"/>
          <w:sz w:val="23"/>
          <w:szCs w:val="23"/>
          <w:lang w:val="en-US"/>
        </w:rPr>
      </w:pPr>
      <w:r>
        <w:rPr>
          <w:sz w:val="24"/>
          <w:szCs w:val="24"/>
          <w:lang w:val="en-US"/>
        </w:rPr>
        <w:t xml:space="preserve">Practice: </w:t>
      </w:r>
      <w:r>
        <w:rPr>
          <w:b/>
          <w:sz w:val="24"/>
          <w:szCs w:val="24"/>
          <w:lang w:val="en-US"/>
        </w:rPr>
        <w:t>0</w:t>
      </w:r>
    </w:p>
    <w:p w:rsidR="001F72FA" w:rsidRDefault="001F72FA" w:rsidP="001F72FA">
      <w:pPr>
        <w:tabs>
          <w:tab w:val="left" w:pos="1418"/>
        </w:tabs>
        <w:spacing w:line="100" w:lineRule="atLeast"/>
        <w:jc w:val="both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Prerequisites: </w:t>
      </w:r>
      <w:r w:rsidR="00D0330A">
        <w:rPr>
          <w:color w:val="000000"/>
          <w:sz w:val="22"/>
          <w:szCs w:val="22"/>
          <w:lang w:val="en-US"/>
        </w:rPr>
        <w:t>Steel structures III</w:t>
      </w:r>
      <w:r>
        <w:rPr>
          <w:bCs/>
          <w:color w:val="000000"/>
          <w:lang w:val="en-US"/>
        </w:rPr>
        <w:t xml:space="preserve">: </w:t>
      </w:r>
      <w:r>
        <w:rPr>
          <w:color w:val="000000"/>
          <w:sz w:val="22"/>
          <w:szCs w:val="22"/>
          <w:lang w:val="en-US"/>
        </w:rPr>
        <w:t xml:space="preserve">MFACS33SS3-EN, </w:t>
      </w:r>
      <w:r w:rsidRPr="001332E7">
        <w:rPr>
          <w:color w:val="000000"/>
          <w:sz w:val="22"/>
          <w:szCs w:val="22"/>
          <w:lang w:val="en-US"/>
        </w:rPr>
        <w:t>Rei</w:t>
      </w:r>
      <w:r w:rsidR="00D0330A">
        <w:rPr>
          <w:color w:val="000000"/>
          <w:sz w:val="22"/>
          <w:szCs w:val="22"/>
          <w:lang w:val="en-US"/>
        </w:rPr>
        <w:t>nforced Concrete Structures III</w:t>
      </w:r>
      <w:r>
        <w:rPr>
          <w:color w:val="000000"/>
          <w:sz w:val="22"/>
          <w:szCs w:val="22"/>
          <w:lang w:val="en-US"/>
        </w:rPr>
        <w:t>: MFVBS33SS3-EN</w:t>
      </w:r>
    </w:p>
    <w:p w:rsidR="001F72FA" w:rsidRDefault="001F72FA" w:rsidP="001F72FA">
      <w:pPr>
        <w:spacing w:line="100" w:lineRule="atLeast"/>
        <w:rPr>
          <w:color w:val="000000"/>
          <w:sz w:val="22"/>
          <w:szCs w:val="22"/>
          <w:lang w:val="en-US"/>
        </w:rPr>
      </w:pPr>
    </w:p>
    <w:p w:rsidR="001F72FA" w:rsidRDefault="001F72FA" w:rsidP="001F72FA">
      <w:pPr>
        <w:spacing w:line="10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3"/>
          <w:szCs w:val="23"/>
          <w:lang w:val="en-US"/>
        </w:rPr>
        <w:t>Topics</w:t>
      </w:r>
      <w:r>
        <w:rPr>
          <w:color w:val="000000"/>
          <w:sz w:val="23"/>
          <w:szCs w:val="23"/>
          <w:lang w:val="en-US"/>
        </w:rPr>
        <w:t xml:space="preserve">: </w:t>
      </w:r>
    </w:p>
    <w:p w:rsidR="001F72FA" w:rsidRDefault="001F72FA" w:rsidP="001F72FA">
      <w:pPr>
        <w:spacing w:line="100" w:lineRule="atLeast"/>
        <w:jc w:val="both"/>
        <w:rPr>
          <w:color w:val="000000"/>
          <w:sz w:val="23"/>
          <w:szCs w:val="23"/>
          <w:lang w:val="en-US"/>
        </w:rPr>
      </w:pPr>
      <w:r>
        <w:rPr>
          <w:color w:val="000000"/>
          <w:sz w:val="24"/>
          <w:szCs w:val="24"/>
        </w:rPr>
        <w:t xml:space="preserve">General </w:t>
      </w:r>
      <w:r>
        <w:rPr>
          <w:color w:val="000000"/>
          <w:sz w:val="24"/>
          <w:szCs w:val="24"/>
          <w:lang w:val="en-US"/>
        </w:rPr>
        <w:t>rules and methods for diagnostic</w:t>
      </w:r>
      <w:r w:rsidR="00D0330A"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lang w:val="en-US"/>
        </w:rPr>
        <w:t xml:space="preserve"> and qualification of load-bearing structures. </w:t>
      </w:r>
      <w:proofErr w:type="gramStart"/>
      <w:r>
        <w:rPr>
          <w:color w:val="000000"/>
          <w:sz w:val="24"/>
          <w:szCs w:val="24"/>
          <w:lang w:val="en-US"/>
        </w:rPr>
        <w:t>Rules and methods for strengthening of structures.</w:t>
      </w:r>
      <w:proofErr w:type="gramEnd"/>
      <w:r w:rsidR="00BB06C5">
        <w:rPr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Reinforcement of concrete beams.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Reinforcement of steel frames.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Reinforcement of joints of steel frames.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Reinforcement of timber structures.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lang w:val="en-GB"/>
        </w:rPr>
        <w:t>Construction of wall openings.</w:t>
      </w:r>
      <w:proofErr w:type="gramEnd"/>
    </w:p>
    <w:p w:rsidR="001F72FA" w:rsidRDefault="001F72FA" w:rsidP="001F72FA">
      <w:pPr>
        <w:spacing w:line="100" w:lineRule="atLeast"/>
        <w:jc w:val="both"/>
        <w:rPr>
          <w:color w:val="000000"/>
          <w:sz w:val="23"/>
          <w:szCs w:val="23"/>
          <w:lang w:val="en-US"/>
        </w:rPr>
      </w:pPr>
    </w:p>
    <w:p w:rsidR="001F72FA" w:rsidRPr="00526FBF" w:rsidRDefault="001F72FA" w:rsidP="001F72FA">
      <w:pPr>
        <w:spacing w:line="100" w:lineRule="atLeast"/>
        <w:jc w:val="both"/>
        <w:rPr>
          <w:b/>
          <w:color w:val="000000"/>
          <w:sz w:val="23"/>
          <w:szCs w:val="23"/>
          <w:lang w:val="en-US"/>
        </w:rPr>
      </w:pPr>
      <w:r w:rsidRPr="00526FBF">
        <w:rPr>
          <w:b/>
          <w:color w:val="000000"/>
          <w:sz w:val="23"/>
          <w:szCs w:val="23"/>
          <w:lang w:val="en-US"/>
        </w:rPr>
        <w:t xml:space="preserve">Literature: </w:t>
      </w:r>
    </w:p>
    <w:p w:rsidR="001F72FA" w:rsidRDefault="001F72FA" w:rsidP="001F72FA">
      <w:pPr>
        <w:spacing w:line="100" w:lineRule="atLeast"/>
        <w:jc w:val="both"/>
      </w:pPr>
      <w:r>
        <w:rPr>
          <w:color w:val="000000"/>
          <w:sz w:val="23"/>
          <w:szCs w:val="23"/>
          <w:lang w:val="en-US"/>
        </w:rPr>
        <w:t>KORIS K</w:t>
      </w:r>
      <w:proofErr w:type="gramStart"/>
      <w:r>
        <w:rPr>
          <w:color w:val="000000"/>
          <w:sz w:val="23"/>
          <w:szCs w:val="23"/>
          <w:lang w:val="en-US"/>
        </w:rPr>
        <w:t>. ,</w:t>
      </w:r>
      <w:proofErr w:type="gramEnd"/>
      <w:r>
        <w:rPr>
          <w:color w:val="000000"/>
          <w:sz w:val="23"/>
          <w:szCs w:val="23"/>
          <w:lang w:val="en-US"/>
        </w:rPr>
        <w:t xml:space="preserve"> BÓDI I.: Strengthening of structures  </w:t>
      </w:r>
    </w:p>
    <w:p w:rsidR="001F72FA" w:rsidRPr="002B7AF0" w:rsidRDefault="00CB193D" w:rsidP="001F72FA">
      <w:pPr>
        <w:spacing w:line="100" w:lineRule="atLeast"/>
        <w:jc w:val="both"/>
        <w:rPr>
          <w:rStyle w:val="boldtxt"/>
          <w:color w:val="000000"/>
          <w:sz w:val="23"/>
          <w:szCs w:val="23"/>
        </w:rPr>
      </w:pPr>
      <w:hyperlink r:id="rId4" w:history="1">
        <w:r w:rsidR="001F72FA">
          <w:rPr>
            <w:rStyle w:val="Hiperhivatkozs"/>
          </w:rPr>
          <w:t>http://www.hsz.bme.hu/hsz/oktatas/feltoltesek/BMEEOHSASA4/strengthening_of_structures.pdf</w:t>
        </w:r>
      </w:hyperlink>
      <w:r w:rsidR="001F72FA" w:rsidRPr="002B7AF0">
        <w:rPr>
          <w:rStyle w:val="boldtxt"/>
          <w:color w:val="000000"/>
          <w:sz w:val="23"/>
          <w:szCs w:val="23"/>
        </w:rPr>
        <w:t xml:space="preserve">  </w:t>
      </w:r>
    </w:p>
    <w:p w:rsidR="001F72FA" w:rsidRDefault="001F72FA" w:rsidP="001F72FA">
      <w:pPr>
        <w:spacing w:line="100" w:lineRule="atLeast"/>
        <w:jc w:val="both"/>
        <w:rPr>
          <w:rStyle w:val="boldtxt"/>
          <w:color w:val="000000"/>
          <w:sz w:val="23"/>
          <w:szCs w:val="23"/>
          <w:lang w:val="en-US"/>
        </w:rPr>
      </w:pPr>
      <w:r>
        <w:rPr>
          <w:rStyle w:val="boldtxt"/>
          <w:color w:val="000000"/>
          <w:sz w:val="23"/>
          <w:szCs w:val="23"/>
          <w:lang w:val="en-US"/>
        </w:rPr>
        <w:t xml:space="preserve">MAZZOLANI F.M., IVÁNYI M.: Refurbishment of buildings and bridges, ISBN 978-3-211-83690-3 Springer 2002. </w:t>
      </w:r>
    </w:p>
    <w:p w:rsidR="001F72FA" w:rsidRDefault="001F72FA" w:rsidP="001F72FA">
      <w:pPr>
        <w:spacing w:line="100" w:lineRule="atLeast"/>
        <w:jc w:val="both"/>
        <w:rPr>
          <w:rStyle w:val="boldtxt"/>
          <w:color w:val="000000"/>
          <w:sz w:val="23"/>
          <w:szCs w:val="23"/>
          <w:lang w:val="en-US"/>
        </w:rPr>
      </w:pPr>
      <w:r>
        <w:rPr>
          <w:rStyle w:val="boldtxt"/>
          <w:color w:val="000000"/>
          <w:sz w:val="23"/>
          <w:szCs w:val="23"/>
          <w:lang w:val="en-US"/>
        </w:rPr>
        <w:t>CROSWELL R. M., WEBSTER M. D.: Guidelines for the Structural Provisions for the Repair, Alteration, Addition and Change of Use of Existing Buildings, Boston Association Of Structural Engineers, March 2002</w:t>
      </w:r>
    </w:p>
    <w:p w:rsidR="001F72FA" w:rsidRDefault="001F72FA" w:rsidP="001F72FA">
      <w:pPr>
        <w:spacing w:line="100" w:lineRule="atLeast"/>
        <w:jc w:val="both"/>
        <w:rPr>
          <w:rStyle w:val="boldtxt"/>
          <w:color w:val="000000"/>
          <w:sz w:val="23"/>
          <w:szCs w:val="23"/>
          <w:lang w:val="en-US"/>
        </w:rPr>
      </w:pPr>
      <w:r>
        <w:rPr>
          <w:rStyle w:val="boldtxt"/>
          <w:color w:val="000000"/>
          <w:sz w:val="23"/>
          <w:szCs w:val="23"/>
          <w:lang w:val="en-US"/>
        </w:rPr>
        <w:t xml:space="preserve">Repair, restoration and strengthening of structures </w:t>
      </w:r>
      <w:hyperlink r:id="rId5" w:history="1">
        <w:r>
          <w:rPr>
            <w:rStyle w:val="Hiperhivatkozs"/>
          </w:rPr>
          <w:t>http://www.nicee.org/iaee/E_Chapter9.pdf</w:t>
        </w:r>
      </w:hyperlink>
    </w:p>
    <w:p w:rsidR="001F72FA" w:rsidRDefault="001F72FA" w:rsidP="001F72FA">
      <w:pPr>
        <w:spacing w:line="100" w:lineRule="atLeast"/>
        <w:jc w:val="both"/>
      </w:pPr>
      <w:r>
        <w:rPr>
          <w:rStyle w:val="boldtxt"/>
          <w:color w:val="000000"/>
          <w:sz w:val="23"/>
          <w:szCs w:val="23"/>
          <w:lang w:val="en-US"/>
        </w:rPr>
        <w:t>MAZZOLANI F.M., Refurbishment by steelwork</w:t>
      </w:r>
    </w:p>
    <w:p w:rsidR="001F72FA" w:rsidRPr="002B7AF0" w:rsidRDefault="00CB193D" w:rsidP="001F72FA">
      <w:pPr>
        <w:spacing w:line="100" w:lineRule="atLeast"/>
        <w:jc w:val="both"/>
        <w:rPr>
          <w:color w:val="000000"/>
          <w:sz w:val="23"/>
          <w:szCs w:val="23"/>
        </w:rPr>
      </w:pPr>
      <w:hyperlink r:id="rId6" w:history="1">
        <w:r w:rsidR="001F72FA">
          <w:rPr>
            <w:rStyle w:val="Hiperhivatkozs"/>
          </w:rPr>
          <w:t>http://www.arcelormittal.com/sections/fileadmin/redaction/pdf/Brochures/refurbishement_en.pdf</w:t>
        </w:r>
      </w:hyperlink>
    </w:p>
    <w:p w:rsidR="001F72FA" w:rsidRDefault="001F72FA" w:rsidP="001F72FA">
      <w:pPr>
        <w:spacing w:line="100" w:lineRule="atLeast"/>
        <w:jc w:val="both"/>
      </w:pPr>
      <w:r>
        <w:rPr>
          <w:color w:val="000000"/>
          <w:sz w:val="23"/>
          <w:szCs w:val="23"/>
          <w:lang w:val="en-US"/>
        </w:rPr>
        <w:t xml:space="preserve">TALJSTEN B., CFRP- </w:t>
      </w:r>
      <w:proofErr w:type="gramStart"/>
      <w:r>
        <w:rPr>
          <w:color w:val="000000"/>
          <w:sz w:val="23"/>
          <w:szCs w:val="23"/>
          <w:lang w:val="en-US"/>
        </w:rPr>
        <w:t>strengthening  -</w:t>
      </w:r>
      <w:proofErr w:type="gramEnd"/>
      <w:r>
        <w:rPr>
          <w:color w:val="000000"/>
          <w:sz w:val="23"/>
          <w:szCs w:val="23"/>
          <w:lang w:val="en-US"/>
        </w:rPr>
        <w:t xml:space="preserve"> concrete structures strengthened with near surface mounted CFRP laminates</w:t>
      </w:r>
    </w:p>
    <w:p w:rsidR="001F72FA" w:rsidRPr="002B7AF0" w:rsidRDefault="00CB193D" w:rsidP="001F72FA">
      <w:pPr>
        <w:spacing w:line="100" w:lineRule="atLeast"/>
        <w:jc w:val="both"/>
        <w:rPr>
          <w:color w:val="000000"/>
          <w:sz w:val="23"/>
          <w:szCs w:val="23"/>
        </w:rPr>
      </w:pPr>
      <w:hyperlink r:id="rId7" w:history="1">
        <w:r w:rsidR="001F72FA">
          <w:rPr>
            <w:rStyle w:val="Hiperhivatkozs"/>
          </w:rPr>
          <w:t>http://quakewrap.com/frp%20papers/CFRP-Strengthening-Concrete-Structures-Strengthened-With-Near-Surface-Mounted-CFRP-Laminates.pdf</w:t>
        </w:r>
      </w:hyperlink>
    </w:p>
    <w:p w:rsidR="001F72FA" w:rsidRPr="002B7AF0" w:rsidRDefault="001F72FA" w:rsidP="001F72FA">
      <w:pPr>
        <w:spacing w:line="100" w:lineRule="atLeast"/>
        <w:jc w:val="both"/>
        <w:rPr>
          <w:color w:val="000000"/>
          <w:sz w:val="23"/>
          <w:szCs w:val="23"/>
        </w:rPr>
      </w:pPr>
    </w:p>
    <w:p w:rsidR="001F72FA" w:rsidRPr="002B7AF0" w:rsidRDefault="001F72FA" w:rsidP="001F72FA">
      <w:pPr>
        <w:spacing w:line="100" w:lineRule="atLeast"/>
        <w:jc w:val="both"/>
        <w:rPr>
          <w:color w:val="000000"/>
          <w:sz w:val="23"/>
          <w:szCs w:val="23"/>
        </w:rPr>
      </w:pPr>
    </w:p>
    <w:p w:rsidR="001F72FA" w:rsidRDefault="001F72FA" w:rsidP="001F72FA">
      <w:pPr>
        <w:pStyle w:val="Default"/>
        <w:rPr>
          <w:b/>
          <w:lang w:val="en-US"/>
        </w:rPr>
      </w:pPr>
      <w:r>
        <w:rPr>
          <w:b/>
          <w:lang w:val="en-US"/>
        </w:rPr>
        <w:t>Schedule</w:t>
      </w:r>
    </w:p>
    <w:tbl>
      <w:tblPr>
        <w:tblW w:w="0" w:type="auto"/>
        <w:tblInd w:w="108" w:type="dxa"/>
        <w:tblLayout w:type="fixed"/>
        <w:tblLook w:val="0000"/>
      </w:tblPr>
      <w:tblGrid>
        <w:gridCol w:w="4605"/>
        <w:gridCol w:w="4606"/>
      </w:tblGrid>
      <w:tr w:rsidR="001F72FA" w:rsidTr="00CD1E9A">
        <w:trPr>
          <w:trHeight w:val="310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BB06C5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Features of the building diagnostic tests.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BB06C5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sz w:val="24"/>
                <w:szCs w:val="24"/>
                <w:lang w:val="en-US"/>
              </w:rPr>
              <w:t xml:space="preserve"> week: 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Expected lifetime of structures. Effect</w:t>
            </w:r>
            <w:r w:rsidR="00BB06C5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of reconstruction.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BB06C5">
              <w:rPr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Rules and methods of load tests.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Strengthening of reinforced concrete structures with post-tensioning.</w:t>
            </w:r>
          </w:p>
          <w:p w:rsidR="001F72FA" w:rsidRDefault="001F72FA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Strengthening reinforced concrete structures with carbon fiber-reinforced belts.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Damages of masonry structures. Ways of strengthening.</w:t>
            </w: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BB06C5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Damages of </w:t>
            </w:r>
            <w:r w:rsidR="001F72FA">
              <w:rPr>
                <w:color w:val="000000"/>
                <w:sz w:val="24"/>
                <w:szCs w:val="24"/>
                <w:lang w:val="en-US"/>
              </w:rPr>
              <w:t xml:space="preserve">arches and vaulted ceilings.   Ways of strengthening. </w:t>
            </w: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Damages of buildings due to the foundation. Methods of strengthening foundations.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TEST1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Fixing local injuries of steel structures.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Strengthening of steel frame structures.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Strengthening of steel structures by modifying the bracing system.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Damages of wooden structures and ways of strengthening.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Damages of prefabricated structures. Ways of strengthening.</w:t>
            </w:r>
          </w:p>
          <w:p w:rsidR="001F72FA" w:rsidRDefault="001F72FA" w:rsidP="00CD1E9A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F72FA" w:rsidRDefault="001F72FA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TEST2</w:t>
            </w:r>
          </w:p>
        </w:tc>
      </w:tr>
    </w:tbl>
    <w:p w:rsidR="001F72FA" w:rsidRDefault="001F72FA" w:rsidP="001F72FA">
      <w:pPr>
        <w:rPr>
          <w:sz w:val="24"/>
          <w:szCs w:val="24"/>
          <w:lang w:val="en-US"/>
        </w:rPr>
      </w:pPr>
    </w:p>
    <w:p w:rsidR="001F72FA" w:rsidRDefault="001F72FA" w:rsidP="001F72F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Requirements</w:t>
      </w:r>
    </w:p>
    <w:p w:rsidR="001F72FA" w:rsidRDefault="001F72FA" w:rsidP="001F72FA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A, for </w:t>
      </w:r>
      <w:r w:rsidR="00BB06C5">
        <w:rPr>
          <w:b/>
          <w:sz w:val="24"/>
          <w:szCs w:val="24"/>
          <w:lang w:val="en-US"/>
        </w:rPr>
        <w:t xml:space="preserve">a </w:t>
      </w:r>
      <w:r>
        <w:rPr>
          <w:b/>
          <w:sz w:val="24"/>
          <w:szCs w:val="24"/>
          <w:lang w:val="en-US"/>
        </w:rPr>
        <w:t>signature:</w:t>
      </w:r>
      <w:r>
        <w:rPr>
          <w:sz w:val="24"/>
          <w:szCs w:val="24"/>
          <w:lang w:val="en-US"/>
        </w:rPr>
        <w:t xml:space="preserve"> </w:t>
      </w:r>
    </w:p>
    <w:p w:rsidR="001F72FA" w:rsidRDefault="001F72FA" w:rsidP="001F72FA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Participation </w:t>
      </w:r>
      <w:r w:rsidR="00BB06C5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lectures</w:t>
      </w:r>
      <w:r>
        <w:rPr>
          <w:sz w:val="24"/>
          <w:szCs w:val="24"/>
          <w:lang w:val="en-US"/>
        </w:rPr>
        <w:t xml:space="preserve"> is compulsory. Student</w:t>
      </w:r>
      <w:r w:rsidR="00BB06C5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must attend the lectures and m</w:t>
      </w:r>
      <w:r w:rsidR="00BB06C5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y not miss more than three </w:t>
      </w:r>
      <w:r w:rsidR="00BB06C5">
        <w:rPr>
          <w:sz w:val="24"/>
          <w:szCs w:val="24"/>
          <w:lang w:val="en-US"/>
        </w:rPr>
        <w:t xml:space="preserve">times </w:t>
      </w:r>
      <w:r>
        <w:rPr>
          <w:sz w:val="24"/>
          <w:szCs w:val="24"/>
          <w:lang w:val="en-US"/>
        </w:rPr>
        <w:t xml:space="preserve">during the semester. In case a student </w:t>
      </w:r>
      <w:r w:rsidR="00BB06C5">
        <w:rPr>
          <w:sz w:val="24"/>
          <w:szCs w:val="24"/>
          <w:lang w:val="en-US"/>
        </w:rPr>
        <w:t>do</w:t>
      </w:r>
      <w:r>
        <w:rPr>
          <w:sz w:val="24"/>
          <w:szCs w:val="24"/>
          <w:lang w:val="en-US"/>
        </w:rPr>
        <w:t xml:space="preserve">es </w:t>
      </w:r>
      <w:r w:rsidR="00BB06C5">
        <w:rPr>
          <w:sz w:val="24"/>
          <w:szCs w:val="24"/>
          <w:lang w:val="en-US"/>
        </w:rPr>
        <w:t>so</w:t>
      </w:r>
      <w:r>
        <w:rPr>
          <w:sz w:val="24"/>
          <w:szCs w:val="24"/>
          <w:lang w:val="en-US"/>
        </w:rPr>
        <w:t>, the subject will not be signed and the stud</w:t>
      </w:r>
      <w:r w:rsidR="00BB06C5">
        <w:rPr>
          <w:sz w:val="24"/>
          <w:szCs w:val="24"/>
          <w:lang w:val="en-US"/>
        </w:rPr>
        <w:t>ent must repeat the course. A</w:t>
      </w:r>
      <w:r>
        <w:rPr>
          <w:sz w:val="24"/>
          <w:szCs w:val="24"/>
          <w:lang w:val="en-US"/>
        </w:rPr>
        <w:t xml:space="preserve">ttendance will be recorded. Being late is </w:t>
      </w:r>
      <w:r w:rsidR="00BB06C5">
        <w:rPr>
          <w:sz w:val="24"/>
          <w:szCs w:val="24"/>
          <w:lang w:val="en-US"/>
        </w:rPr>
        <w:t>equivalent with</w:t>
      </w:r>
      <w:r>
        <w:rPr>
          <w:sz w:val="24"/>
          <w:szCs w:val="24"/>
          <w:lang w:val="en-US"/>
        </w:rPr>
        <w:t xml:space="preserve"> an absence. In case of further absences, a medical certificate needs to be presented. Students are required to bring </w:t>
      </w:r>
      <w:r w:rsidR="00BB06C5">
        <w:rPr>
          <w:sz w:val="24"/>
          <w:szCs w:val="24"/>
          <w:lang w:val="en-US"/>
        </w:rPr>
        <w:t xml:space="preserve">a calculator </w:t>
      </w:r>
      <w:r>
        <w:rPr>
          <w:sz w:val="24"/>
          <w:szCs w:val="24"/>
          <w:lang w:val="en-US"/>
        </w:rPr>
        <w:t xml:space="preserve">to each lecture. Active participation is evaluated by the teacher in every class. If </w:t>
      </w:r>
      <w:r w:rsidR="00BB06C5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student’s behavior or conduct doesn’t meet the requirements of active participation, the teacher may evaluate their participation as an absence due to the lack of active participation in class.</w:t>
      </w:r>
    </w:p>
    <w:p w:rsidR="001F72FA" w:rsidRDefault="001F72FA" w:rsidP="001F72FA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semester there are two tests. Students have to reach the minimum level o</w:t>
      </w:r>
      <w:r w:rsidR="00BB06C5">
        <w:rPr>
          <w:sz w:val="24"/>
          <w:szCs w:val="24"/>
          <w:lang w:val="en-US"/>
        </w:rPr>
        <w:t xml:space="preserve">f points on </w:t>
      </w:r>
      <w:r>
        <w:rPr>
          <w:sz w:val="24"/>
          <w:szCs w:val="24"/>
          <w:lang w:val="en-US"/>
        </w:rPr>
        <w:t>each test.</w:t>
      </w:r>
    </w:p>
    <w:p w:rsidR="001F72FA" w:rsidRDefault="001F72FA" w:rsidP="001F72FA">
      <w:pPr>
        <w:pStyle w:val="Listaszerbekezds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the sc</w:t>
      </w:r>
      <w:r w:rsidR="00BB06C5">
        <w:rPr>
          <w:rFonts w:ascii="Times New Roman" w:hAnsi="Times New Roman"/>
          <w:sz w:val="24"/>
          <w:szCs w:val="24"/>
        </w:rPr>
        <w:t>ore of any test is below 30 of</w:t>
      </w:r>
      <w:r>
        <w:rPr>
          <w:rFonts w:ascii="Times New Roman" w:hAnsi="Times New Roman"/>
          <w:sz w:val="24"/>
          <w:szCs w:val="24"/>
        </w:rPr>
        <w:t xml:space="preserve"> 50, the studen</w:t>
      </w:r>
      <w:r w:rsidR="00BB06C5">
        <w:rPr>
          <w:rFonts w:ascii="Times New Roman" w:hAnsi="Times New Roman"/>
          <w:sz w:val="24"/>
          <w:szCs w:val="24"/>
        </w:rPr>
        <w:t>t once can take a retake test covering the whole semester material</w:t>
      </w:r>
      <w:r>
        <w:rPr>
          <w:rFonts w:ascii="Times New Roman" w:hAnsi="Times New Roman"/>
          <w:sz w:val="24"/>
          <w:szCs w:val="24"/>
        </w:rPr>
        <w:t>.</w:t>
      </w:r>
    </w:p>
    <w:p w:rsidR="001F72FA" w:rsidRDefault="001F72FA" w:rsidP="001F72FA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B, for </w:t>
      </w:r>
      <w:r w:rsidR="00BB06C5">
        <w:rPr>
          <w:b/>
          <w:sz w:val="24"/>
          <w:szCs w:val="24"/>
          <w:lang w:val="en-US"/>
        </w:rPr>
        <w:t xml:space="preserve">a </w:t>
      </w:r>
      <w:r>
        <w:rPr>
          <w:b/>
          <w:sz w:val="24"/>
          <w:szCs w:val="24"/>
          <w:lang w:val="en-US"/>
        </w:rPr>
        <w:t>grade:</w:t>
      </w:r>
    </w:p>
    <w:p w:rsidR="001F72FA" w:rsidRDefault="001F72FA" w:rsidP="001F72FA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The course ends in</w:t>
      </w:r>
      <w:r w:rsidR="00BB06C5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mid-term</w:t>
      </w:r>
      <w:r>
        <w:rPr>
          <w:b/>
          <w:sz w:val="24"/>
          <w:szCs w:val="24"/>
          <w:lang w:val="en-US"/>
        </w:rPr>
        <w:t xml:space="preserve"> grade</w:t>
      </w:r>
      <w:r w:rsidR="00AE2C50">
        <w:rPr>
          <w:b/>
          <w:sz w:val="24"/>
          <w:szCs w:val="24"/>
          <w:lang w:val="en-US"/>
        </w:rPr>
        <w:t xml:space="preserve"> (AW5)</w:t>
      </w:r>
      <w:r>
        <w:rPr>
          <w:sz w:val="24"/>
          <w:szCs w:val="24"/>
          <w:lang w:val="en-US"/>
        </w:rPr>
        <w:t>, based on the points of the tests.</w:t>
      </w:r>
    </w:p>
    <w:p w:rsidR="001F72FA" w:rsidRDefault="001F72FA" w:rsidP="001F72FA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on </w:t>
      </w:r>
      <w:r w:rsidR="00BB06C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points earned during the semester, the grade is given according to the following table:</w:t>
      </w:r>
    </w:p>
    <w:p w:rsidR="001F72FA" w:rsidRDefault="001F72FA" w:rsidP="001F72FA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1F72FA" w:rsidRDefault="001F72FA" w:rsidP="001F72FA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fail</w:t>
      </w:r>
      <w:proofErr w:type="gramEnd"/>
      <w:r>
        <w:rPr>
          <w:rFonts w:ascii="Times New Roman" w:hAnsi="Times New Roman"/>
          <w:sz w:val="24"/>
          <w:szCs w:val="24"/>
        </w:rPr>
        <w:t xml:space="preserve"> (1)</w:t>
      </w:r>
    </w:p>
    <w:p w:rsidR="001F72FA" w:rsidRDefault="001F72FA" w:rsidP="001F72FA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pass (2)</w:t>
      </w:r>
    </w:p>
    <w:p w:rsidR="001F72FA" w:rsidRDefault="001F72FA" w:rsidP="001F72FA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70-79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satisfactory (3)</w:t>
      </w:r>
    </w:p>
    <w:p w:rsidR="001F72FA" w:rsidRDefault="001F72FA" w:rsidP="001F72FA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80-89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good (4)</w:t>
      </w:r>
    </w:p>
    <w:p w:rsidR="001F72FA" w:rsidRDefault="001F72FA" w:rsidP="001F72FA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90-100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excellent (5)</w:t>
      </w:r>
    </w:p>
    <w:p w:rsidR="001F72FA" w:rsidRDefault="001F72FA" w:rsidP="001F72FA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8666E9" w:rsidRDefault="008666E9"/>
    <w:sectPr w:rsidR="008666E9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F72FA"/>
    <w:rsid w:val="001F72FA"/>
    <w:rsid w:val="002B7AF0"/>
    <w:rsid w:val="006932C1"/>
    <w:rsid w:val="008666E9"/>
    <w:rsid w:val="008D76B6"/>
    <w:rsid w:val="00AE2C50"/>
    <w:rsid w:val="00BB06C5"/>
    <w:rsid w:val="00CB193D"/>
    <w:rsid w:val="00D0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F72FA"/>
    <w:rPr>
      <w:color w:val="0000FF"/>
      <w:u w:val="single"/>
    </w:rPr>
  </w:style>
  <w:style w:type="paragraph" w:customStyle="1" w:styleId="Default">
    <w:name w:val="Default"/>
    <w:rsid w:val="001F7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ldtxt">
    <w:name w:val="boldtxt"/>
    <w:basedOn w:val="Bekezdsalapbettpusa"/>
    <w:rsid w:val="001F72FA"/>
  </w:style>
  <w:style w:type="paragraph" w:customStyle="1" w:styleId="Listaszerbekezds4">
    <w:name w:val="Listaszerű bekezdés4"/>
    <w:rsid w:val="001F72FA"/>
    <w:pPr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akewrap.com/frp%20papers/CFRP-Strengthening-Concrete-Structures-Strengthened-With-Near-Surface-Mounted-CFRP-Laminat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elormittal.com/sections/fileadmin/redaction/pdf/Brochures/refurbishement_en.pdf" TargetMode="External"/><Relationship Id="rId5" Type="http://schemas.openxmlformats.org/officeDocument/2006/relationships/hyperlink" Target="http://www.nicee.org/iaee/E_Chapter9.pdf" TargetMode="External"/><Relationship Id="rId4" Type="http://schemas.openxmlformats.org/officeDocument/2006/relationships/hyperlink" Target="http://www.hsz.bme.hu/hsz/oktatas/feltoltesek/BMEEOHSASA4/strengthening_of_structure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530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6</cp:revision>
  <dcterms:created xsi:type="dcterms:W3CDTF">2015-03-03T10:25:00Z</dcterms:created>
  <dcterms:modified xsi:type="dcterms:W3CDTF">2015-06-08T11:11:00Z</dcterms:modified>
</cp:coreProperties>
</file>